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C12A10" w14:textId="436ED5E8" w:rsidR="006F3310" w:rsidRPr="00A54FD8" w:rsidRDefault="006F3310" w:rsidP="001871E0">
      <w:pPr>
        <w:spacing w:after="200"/>
        <w:rPr>
          <w:b/>
          <w:bCs/>
          <w:sz w:val="22"/>
          <w:szCs w:val="22"/>
          <w:lang w:val="en-US"/>
        </w:rPr>
      </w:pPr>
      <w:r>
        <w:rPr>
          <w:b/>
          <w:bCs/>
          <w:sz w:val="22"/>
          <w:szCs w:val="22"/>
          <w:lang w:val="en-US"/>
        </w:rPr>
        <w:t xml:space="preserve">DTP Interdisciplinary </w:t>
      </w:r>
      <w:r w:rsidRPr="00A54FD8">
        <w:rPr>
          <w:b/>
          <w:bCs/>
          <w:sz w:val="22"/>
          <w:szCs w:val="22"/>
          <w:lang w:val="en-US"/>
        </w:rPr>
        <w:t>Themed Pathways</w:t>
      </w:r>
    </w:p>
    <w:tbl>
      <w:tblPr>
        <w:tblStyle w:val="TableGrid1"/>
        <w:tblW w:w="9322" w:type="dxa"/>
        <w:tblLayout w:type="fixed"/>
        <w:tblLook w:val="04A0" w:firstRow="1" w:lastRow="0" w:firstColumn="1" w:lastColumn="0" w:noHBand="0" w:noVBand="1"/>
      </w:tblPr>
      <w:tblGrid>
        <w:gridCol w:w="1951"/>
        <w:gridCol w:w="7371"/>
      </w:tblGrid>
      <w:tr w:rsidR="005036A0" w:rsidRPr="00F7245D" w14:paraId="7BC5B1FD" w14:textId="77777777" w:rsidTr="00FB3536">
        <w:tc>
          <w:tcPr>
            <w:tcW w:w="1951" w:type="dxa"/>
          </w:tcPr>
          <w:p w14:paraId="22777810"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 xml:space="preserve">DTP Pathway </w:t>
            </w:r>
          </w:p>
        </w:tc>
        <w:tc>
          <w:tcPr>
            <w:tcW w:w="7371" w:type="dxa"/>
          </w:tcPr>
          <w:p w14:paraId="5C45C5E4"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 xml:space="preserve">Discipline and Topic Coverage </w:t>
            </w:r>
          </w:p>
        </w:tc>
      </w:tr>
      <w:tr w:rsidR="005036A0" w:rsidRPr="00F7245D" w14:paraId="08394DCA" w14:textId="77777777" w:rsidTr="00FB3536">
        <w:tc>
          <w:tcPr>
            <w:tcW w:w="1951" w:type="dxa"/>
          </w:tcPr>
          <w:p w14:paraId="6A4A21E8"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Cities, Environment, and Liveability</w:t>
            </w:r>
            <w:r>
              <w:rPr>
                <w:rFonts w:ascii="Arial Narrow" w:eastAsia="SimSun" w:hAnsi="Arial Narrow"/>
                <w:b/>
                <w:bCs/>
                <w:sz w:val="22"/>
                <w:szCs w:val="22"/>
                <w:lang w:eastAsia="zh-CN"/>
              </w:rPr>
              <w:t xml:space="preserve"> (CEL)</w:t>
            </w:r>
          </w:p>
          <w:p w14:paraId="3903A9CF" w14:textId="77777777" w:rsidR="005036A0" w:rsidRPr="00F7245D" w:rsidRDefault="005036A0" w:rsidP="00FB3536">
            <w:pPr>
              <w:rPr>
                <w:rFonts w:ascii="Arial Narrow" w:eastAsia="SimSun" w:hAnsi="Arial Narrow"/>
                <w:b/>
                <w:bCs/>
                <w:sz w:val="22"/>
                <w:szCs w:val="22"/>
                <w:lang w:eastAsia="zh-CN"/>
              </w:rPr>
            </w:pPr>
          </w:p>
        </w:tc>
        <w:tc>
          <w:tcPr>
            <w:tcW w:w="7371" w:type="dxa"/>
          </w:tcPr>
          <w:p w14:paraId="7CFA8B64" w14:textId="77777777" w:rsidR="00307F7E" w:rsidRPr="00307F7E" w:rsidRDefault="00307F7E" w:rsidP="00307F7E">
            <w:pPr>
              <w:rPr>
                <w:rFonts w:ascii="Arial Narrow" w:eastAsia="SimSun" w:hAnsi="Arial Narrow"/>
                <w:sz w:val="22"/>
                <w:szCs w:val="22"/>
                <w:lang w:eastAsia="zh-CN"/>
              </w:rPr>
            </w:pPr>
            <w:r w:rsidRPr="00307F7E">
              <w:rPr>
                <w:rFonts w:ascii="Arial Narrow" w:eastAsia="SimSun" w:hAnsi="Arial Narrow"/>
                <w:sz w:val="22"/>
                <w:szCs w:val="22"/>
                <w:lang w:eastAsia="zh-CN"/>
              </w:rPr>
              <w:t>It is increasingly clear that we need to better understand interactions between humans and the environment to tackle environmental crises, including climate change, pollution, biodiversity loss, deforestation and soil erosion. These interactions are shaped by institutional and geographical contexts, including urban and rural settings. Liveability provides a nexus by placing emphasis on infrastructures and their resilience (breadth of services, utilities, such as energy and water) and shifts within the built environment (spaces and places, mobilities, interaction, property, housing policy and practice). Liveability also highlights other important social dimensions such as inequalities and injustices relating to the impacts of environmental crises and/or of the policies and approaches that seek to tackle these challenges.</w:t>
            </w:r>
          </w:p>
          <w:p w14:paraId="32C27829" w14:textId="77777777" w:rsidR="00307F7E" w:rsidRPr="00307F7E" w:rsidRDefault="00307F7E" w:rsidP="00307F7E">
            <w:pPr>
              <w:rPr>
                <w:rFonts w:ascii="Arial Narrow" w:eastAsia="SimSun" w:hAnsi="Arial Narrow"/>
                <w:sz w:val="22"/>
                <w:szCs w:val="22"/>
                <w:lang w:eastAsia="zh-CN"/>
              </w:rPr>
            </w:pPr>
          </w:p>
          <w:p w14:paraId="5C962C96" w14:textId="6988880C" w:rsidR="00EE0ACD" w:rsidRPr="00F7245D" w:rsidRDefault="00307F7E" w:rsidP="00307F7E">
            <w:pPr>
              <w:jc w:val="both"/>
              <w:rPr>
                <w:rFonts w:ascii="Arial Narrow" w:eastAsia="SimSun" w:hAnsi="Arial Narrow"/>
                <w:sz w:val="22"/>
                <w:szCs w:val="22"/>
                <w:lang w:eastAsia="zh-CN"/>
              </w:rPr>
            </w:pPr>
            <w:r w:rsidRPr="00307F7E">
              <w:rPr>
                <w:rFonts w:ascii="Arial Narrow" w:eastAsia="SimSun" w:hAnsi="Arial Narrow"/>
                <w:sz w:val="22"/>
                <w:szCs w:val="22"/>
                <w:lang w:eastAsia="zh-CN"/>
              </w:rPr>
              <w:t>The CEL pathway brings together colleagues and PGRs from a range of disciplines, including geography, urban planning, architecture, sociology, politics, environment, education and health to offer cutting edge training to equip the next generation of inter-disciplinary social scientists with the tools to respond to the grand social challenges of poverty, social exclusion, climate change and environmental degradation in urban and rural areas at local, national and international scales.</w:t>
            </w:r>
          </w:p>
        </w:tc>
      </w:tr>
      <w:tr w:rsidR="005036A0" w:rsidRPr="00F7245D" w14:paraId="229ADCE1" w14:textId="77777777" w:rsidTr="00FB3536">
        <w:trPr>
          <w:trHeight w:val="1066"/>
        </w:trPr>
        <w:tc>
          <w:tcPr>
            <w:tcW w:w="1951" w:type="dxa"/>
          </w:tcPr>
          <w:p w14:paraId="1969E2F3"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Security, Conflict, and Justice</w:t>
            </w:r>
            <w:r>
              <w:rPr>
                <w:rFonts w:ascii="Arial Narrow" w:eastAsia="SimSun" w:hAnsi="Arial Narrow"/>
                <w:b/>
                <w:bCs/>
                <w:sz w:val="22"/>
                <w:szCs w:val="22"/>
                <w:lang w:eastAsia="zh-CN"/>
              </w:rPr>
              <w:t xml:space="preserve"> (SCJ)</w:t>
            </w:r>
          </w:p>
        </w:tc>
        <w:tc>
          <w:tcPr>
            <w:tcW w:w="7371" w:type="dxa"/>
          </w:tcPr>
          <w:p w14:paraId="0E345055" w14:textId="77777777" w:rsidR="005036A0" w:rsidRPr="00BB19FC" w:rsidRDefault="005036A0" w:rsidP="00FB3536">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Climate change, social deprivation, public health, gender and racial inequalities, global development challenges, distributive justice, violent extremism and terrorism, egregious human rights abuse, changing patterns of conflict, evolving markets in crime and techniques of crime control, (forced) migration, and the evolving security agenda –amongst many others– are challenges which arguably defy narrow disciplinary approaches. They are also defined by the shifting social, technological and normative contexts in which they are found, as well as the blurring distinctions between traditionally distinct academic categories.</w:t>
            </w:r>
          </w:p>
          <w:p w14:paraId="07FA8E5F" w14:textId="77777777" w:rsidR="005036A0" w:rsidRPr="00BB19FC" w:rsidRDefault="005036A0" w:rsidP="00FB3536">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The Security, Conflict and Justice pathway engages with this broad range of societal challenges, addressed within and across criminology, international studies, law, political science, public policy and socio-legal studies. Debates about the nature and driving forces of conflict –and in particular the growing emphasis upon social and economic factors, identity, and environmental stresses– are relevant to the subject areas of development, governance and security. In turn, security and conflict are both inherently linked to debates about justice. Injustice is a source of conflict, and the question of ‘just security’ –including the politics and governance of crime and security within contemporary society– is highly topical and contested. Furthermore, injustice and insecurity are experienced by people in different ways on an everyday basis, including the challenges of social deprivation, unequal access to legal justice, the denial of minority rights, and deficiencies in the rule of law.</w:t>
            </w:r>
          </w:p>
          <w:p w14:paraId="32347C8C" w14:textId="77777777" w:rsidR="005036A0" w:rsidRPr="00F7245D" w:rsidRDefault="005036A0" w:rsidP="00FB3536">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The Security, Conflict and Justice pathway facilitates excellent research training that tracks and harnesses the latest theoretical advances, as well as the innovative methodologies that have emerged at this interdisciplinary nexus. Its remit supports research that directly addresses pressing policy challenges that must be approached with novel and wider perspectives to  develop better strategies for conflict resolution and securing justice – whether locally, nationally or globally.</w:t>
            </w:r>
          </w:p>
        </w:tc>
      </w:tr>
      <w:tr w:rsidR="005036A0" w:rsidRPr="00F7245D" w14:paraId="490EC6EA" w14:textId="77777777" w:rsidTr="00FB3536">
        <w:tc>
          <w:tcPr>
            <w:tcW w:w="1951" w:type="dxa"/>
          </w:tcPr>
          <w:p w14:paraId="2A186B4C"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Education, Childhood, and Youth</w:t>
            </w:r>
            <w:r>
              <w:rPr>
                <w:rFonts w:ascii="Arial Narrow" w:eastAsia="SimSun" w:hAnsi="Arial Narrow"/>
                <w:b/>
                <w:bCs/>
                <w:sz w:val="22"/>
                <w:szCs w:val="22"/>
                <w:lang w:eastAsia="zh-CN"/>
              </w:rPr>
              <w:t xml:space="preserve"> (ECY)</w:t>
            </w:r>
          </w:p>
          <w:p w14:paraId="05D907FF" w14:textId="77777777" w:rsidR="005036A0" w:rsidRPr="00F7245D" w:rsidRDefault="005036A0" w:rsidP="00FB3536">
            <w:pPr>
              <w:rPr>
                <w:rFonts w:ascii="Arial Narrow" w:eastAsia="SimSun" w:hAnsi="Arial Narrow"/>
                <w:b/>
                <w:bCs/>
                <w:sz w:val="22"/>
                <w:szCs w:val="22"/>
                <w:lang w:eastAsia="zh-CN"/>
              </w:rPr>
            </w:pPr>
          </w:p>
        </w:tc>
        <w:tc>
          <w:tcPr>
            <w:tcW w:w="7371" w:type="dxa"/>
          </w:tcPr>
          <w:p w14:paraId="72147CC1"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lastRenderedPageBreak/>
              <w:t xml:space="preserve">The focus of attention in the Education, Childhood and Youth (ECY) pathway is a range of societal challenges within and across the fields that include: Critical ‘Race’ and whiteness scholarship, Cultural Studies, Disability, Education, Language and Linguistics, Psychology and Sociology. These challenges include the realities and demands of </w:t>
            </w:r>
            <w:r w:rsidRPr="006B52BE">
              <w:rPr>
                <w:rFonts w:ascii="Arial Narrow" w:eastAsia="SimSun" w:hAnsi="Arial Narrow"/>
                <w:sz w:val="22"/>
                <w:szCs w:val="22"/>
                <w:lang w:eastAsia="zh-CN"/>
              </w:rPr>
              <w:lastRenderedPageBreak/>
              <w:t>learning (and teaching) for an unknown future, both nationally and globally; the ethics and changing nature of social justice in education; shifting notions of activism in civic society; inequalities in educational provision, access and attainment; wellbeing, and the cognitive and social-emotional development of learners. Pathway members have an interest in formal and informal learning and development across the lifespan: from perinatal, to babies and early childhood through to adulthood.</w:t>
            </w:r>
          </w:p>
          <w:p w14:paraId="1702DE05" w14:textId="77777777" w:rsidR="005036A0" w:rsidRPr="006B52BE" w:rsidRDefault="005036A0" w:rsidP="00FB3536">
            <w:pPr>
              <w:jc w:val="both"/>
              <w:rPr>
                <w:rFonts w:ascii="Arial Narrow" w:eastAsia="SimSun" w:hAnsi="Arial Narrow"/>
                <w:sz w:val="22"/>
                <w:szCs w:val="22"/>
                <w:lang w:eastAsia="zh-CN"/>
              </w:rPr>
            </w:pPr>
          </w:p>
          <w:p w14:paraId="640C1A7D"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 xml:space="preserve">As the world is rapidly changing and becoming increasingly precarious for many people, research in education, childhood and youth that draws on a range of disciplines is ever-more vital in the study of complex physical, social, political, economic and environmental issues. In this interdisciplinary pathway, we encourage and support a wide range of research topics, for example: </w:t>
            </w:r>
          </w:p>
          <w:p w14:paraId="3F6121D9" w14:textId="77777777" w:rsidR="005036A0" w:rsidRPr="006B52BE" w:rsidRDefault="005036A0" w:rsidP="00FB3536">
            <w:pPr>
              <w:jc w:val="both"/>
              <w:rPr>
                <w:rFonts w:ascii="Arial Narrow" w:eastAsia="SimSun" w:hAnsi="Arial Narrow"/>
                <w:sz w:val="22"/>
                <w:szCs w:val="22"/>
                <w:lang w:eastAsia="zh-CN"/>
              </w:rPr>
            </w:pPr>
          </w:p>
          <w:p w14:paraId="0C5C6604"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global and national critical education policy studies; </w:t>
            </w:r>
          </w:p>
          <w:p w14:paraId="4FC2554F"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laboratory studies of cognitive and social-emotional development of learners;</w:t>
            </w:r>
          </w:p>
          <w:p w14:paraId="6D4F97D4"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the development and evaluation of educational interventions; </w:t>
            </w:r>
          </w:p>
          <w:p w14:paraId="2180A1F2"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arts-based methods for engaging with communities;</w:t>
            </w:r>
          </w:p>
          <w:p w14:paraId="5ED17330"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the role of play in learning;</w:t>
            </w:r>
          </w:p>
          <w:p w14:paraId="243CF412"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educational knowledge production; </w:t>
            </w:r>
          </w:p>
          <w:p w14:paraId="516C2523"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practitioner research, including action research, exploratory practice, and reflective practice;</w:t>
            </w:r>
          </w:p>
          <w:p w14:paraId="3CD99E4F"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critical investigations into curriculum, pedagogy and assessment; and</w:t>
            </w:r>
          </w:p>
          <w:p w14:paraId="039B1A70"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professional development for practitioners negotiating competing priorities and uncertain futures. </w:t>
            </w:r>
          </w:p>
          <w:p w14:paraId="7051F714" w14:textId="77777777" w:rsidR="005036A0" w:rsidRPr="006B52BE" w:rsidRDefault="005036A0" w:rsidP="00FB3536">
            <w:pPr>
              <w:jc w:val="both"/>
              <w:rPr>
                <w:rFonts w:ascii="Arial Narrow" w:eastAsia="SimSun" w:hAnsi="Arial Narrow"/>
                <w:sz w:val="22"/>
                <w:szCs w:val="22"/>
                <w:lang w:eastAsia="zh-CN"/>
              </w:rPr>
            </w:pPr>
          </w:p>
          <w:p w14:paraId="1380A38B" w14:textId="77777777" w:rsidR="005036A0" w:rsidRPr="00F7245D"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We also support and promote the use of innovative methodologies, both qualitative and quantitative, to respond to key challenges in the field of education, childhood and youth, such as critical policy discourse analysis, visual and multimodal methodologies, digital teaching and learning, narrative inquiry, co-production (including learners and teachers as co-researchers) and experimental, quasi experimental and, feasibility studies, such as the neuroscience of learning and development.</w:t>
            </w:r>
          </w:p>
        </w:tc>
      </w:tr>
      <w:tr w:rsidR="005036A0" w:rsidRPr="00F7245D" w14:paraId="552B16A6" w14:textId="77777777" w:rsidTr="00FB3536">
        <w:tc>
          <w:tcPr>
            <w:tcW w:w="1951" w:type="dxa"/>
          </w:tcPr>
          <w:p w14:paraId="56F1DA6B"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Data,</w:t>
            </w:r>
          </w:p>
          <w:p w14:paraId="17552BCA"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Communication, and New Technologies</w:t>
            </w:r>
            <w:r>
              <w:rPr>
                <w:rFonts w:ascii="Arial Narrow" w:eastAsia="SimSun" w:hAnsi="Arial Narrow"/>
                <w:b/>
                <w:bCs/>
                <w:sz w:val="22"/>
                <w:szCs w:val="22"/>
                <w:lang w:eastAsia="zh-CN"/>
              </w:rPr>
              <w:t xml:space="preserve"> (DCT)</w:t>
            </w:r>
            <w:r w:rsidRPr="00F7245D">
              <w:rPr>
                <w:rFonts w:ascii="Arial Narrow" w:eastAsia="SimSun" w:hAnsi="Arial Narrow"/>
                <w:b/>
                <w:bCs/>
                <w:sz w:val="22"/>
                <w:szCs w:val="22"/>
                <w:lang w:eastAsia="zh-CN"/>
              </w:rPr>
              <w:t xml:space="preserve"> </w:t>
            </w:r>
          </w:p>
        </w:tc>
        <w:tc>
          <w:tcPr>
            <w:tcW w:w="7371" w:type="dxa"/>
          </w:tcPr>
          <w:p w14:paraId="397DB3F5" w14:textId="741EE3B9" w:rsidR="005036A0"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Data, Communications and New Technologies (DCT) Pathway focuses on key contemporary challenges emerging at the intersection of technology and society. Our research investigates how social dynamics shape and are shaped by digital data and infrastructures, involving new models of engagement with societal issues. We are particularly interested in:</w:t>
            </w:r>
          </w:p>
          <w:p w14:paraId="60132F82" w14:textId="77777777" w:rsidR="00886D32" w:rsidRPr="00BB19FC" w:rsidRDefault="00886D32" w:rsidP="00FB3536">
            <w:pPr>
              <w:jc w:val="both"/>
              <w:rPr>
                <w:rFonts w:ascii="Arial Narrow" w:eastAsia="SimSun" w:hAnsi="Arial Narrow"/>
                <w:sz w:val="22"/>
                <w:szCs w:val="22"/>
                <w:lang w:eastAsia="zh-CN"/>
              </w:rPr>
            </w:pPr>
          </w:p>
          <w:p w14:paraId="266D9419" w14:textId="77777777"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changing nature of the social, economic and political context of data and information production, dissemination and use, </w:t>
            </w:r>
            <w:r w:rsidRPr="00BB19FC">
              <w:rPr>
                <w:rFonts w:ascii="Arial Narrow" w:eastAsia="SimSun" w:hAnsi="Arial Narrow"/>
                <w:sz w:val="22"/>
                <w:szCs w:val="22"/>
                <w:lang w:eastAsia="zh-CN"/>
              </w:rPr>
              <w:t>looking at core themes like metrics and algorithm bias and their shaping social practices and understandings of society;</w:t>
            </w:r>
          </w:p>
          <w:p w14:paraId="54D7519B" w14:textId="77777777"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 xml:space="preserve">The evolving relationship between digital platforms and corporate and </w:t>
            </w:r>
            <w:r w:rsidRPr="00BB19FC">
              <w:rPr>
                <w:rFonts w:ascii="Arial Narrow" w:eastAsia="SimSun" w:hAnsi="Arial Narrow"/>
                <w:b/>
                <w:bCs/>
                <w:sz w:val="22"/>
                <w:szCs w:val="22"/>
                <w:lang w:eastAsia="zh-CN"/>
              </w:rPr>
              <w:lastRenderedPageBreak/>
              <w:t>state regulations</w:t>
            </w:r>
            <w:r w:rsidRPr="00BB19FC">
              <w:rPr>
                <w:rFonts w:ascii="Arial Narrow" w:eastAsia="SimSun" w:hAnsi="Arial Narrow"/>
                <w:sz w:val="22"/>
                <w:szCs w:val="22"/>
                <w:lang w:eastAsia="zh-CN"/>
              </w:rPr>
              <w:t>, in the context of projects investigating, for instance, platform governance, surveillance or censorship.</w:t>
            </w:r>
          </w:p>
          <w:p w14:paraId="63628EEF" w14:textId="77777777"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Everyday experiences and tinkering with digital platforms </w:t>
            </w:r>
            <w:r w:rsidRPr="00BB19FC">
              <w:rPr>
                <w:rFonts w:ascii="Arial Narrow" w:eastAsia="SimSun" w:hAnsi="Arial Narrow"/>
                <w:sz w:val="22"/>
                <w:szCs w:val="22"/>
                <w:lang w:eastAsia="zh-CN"/>
              </w:rPr>
              <w:t>through the Internet of things (IoT) like in  social interactions, self-tracking activities or identity practices;</w:t>
            </w:r>
          </w:p>
          <w:p w14:paraId="6FAFFD7F" w14:textId="72F3E2F1" w:rsidR="00886D32" w:rsidRDefault="005036A0" w:rsidP="00886D32">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relationship between technology and social change </w:t>
            </w:r>
            <w:r w:rsidRPr="00BB19FC">
              <w:rPr>
                <w:rFonts w:ascii="Arial Narrow" w:eastAsia="SimSun" w:hAnsi="Arial Narrow"/>
                <w:sz w:val="22"/>
                <w:szCs w:val="22"/>
                <w:lang w:eastAsia="zh-CN"/>
              </w:rPr>
              <w:t>in both the “Global North” and the “Global South”.</w:t>
            </w:r>
          </w:p>
          <w:p w14:paraId="737B1D97" w14:textId="4E7A91C6" w:rsidR="005036A0" w:rsidRPr="00F7245D" w:rsidRDefault="00886D32" w:rsidP="00FB3536">
            <w:pPr>
              <w:jc w:val="both"/>
              <w:rPr>
                <w:rFonts w:ascii="Arial Narrow" w:eastAsia="SimSun" w:hAnsi="Arial Narrow"/>
                <w:sz w:val="22"/>
                <w:szCs w:val="22"/>
                <w:lang w:eastAsia="zh-CN"/>
              </w:rPr>
            </w:pPr>
            <w:r>
              <w:rPr>
                <w:rFonts w:ascii="Arial Narrow" w:eastAsia="SimSun" w:hAnsi="Arial Narrow"/>
                <w:b/>
                <w:bCs/>
                <w:sz w:val="22"/>
                <w:szCs w:val="22"/>
                <w:lang w:eastAsia="zh-CN"/>
              </w:rPr>
              <w:t xml:space="preserve"> </w:t>
            </w:r>
            <w:r w:rsidR="005036A0" w:rsidRPr="00BB19FC">
              <w:rPr>
                <w:rFonts w:ascii="Arial Narrow" w:eastAsia="SimSun" w:hAnsi="Arial Narrow"/>
                <w:sz w:val="22"/>
                <w:szCs w:val="22"/>
                <w:lang w:eastAsia="zh-CN"/>
              </w:rPr>
              <w:t>The above challenges require </w:t>
            </w:r>
            <w:r w:rsidR="005036A0" w:rsidRPr="00BB19FC">
              <w:rPr>
                <w:rFonts w:ascii="Arial Narrow" w:eastAsia="SimSun" w:hAnsi="Arial Narrow"/>
                <w:b/>
                <w:bCs/>
                <w:sz w:val="22"/>
                <w:szCs w:val="22"/>
                <w:lang w:eastAsia="zh-CN"/>
              </w:rPr>
              <w:t>interdisciplinary</w:t>
            </w:r>
            <w:r w:rsidR="005036A0" w:rsidRPr="00BB19FC">
              <w:rPr>
                <w:rFonts w:ascii="Arial Narrow" w:eastAsia="SimSun" w:hAnsi="Arial Narrow"/>
                <w:sz w:val="22"/>
                <w:szCs w:val="22"/>
                <w:lang w:eastAsia="zh-CN"/>
              </w:rPr>
              <w:t> approaches across information science, sociology, media and communication studies, journalism, linguistics, geography and science and technology studies. The pathway is particularly keen on supporting </w:t>
            </w:r>
            <w:r w:rsidR="005036A0" w:rsidRPr="00BB19FC">
              <w:rPr>
                <w:rFonts w:ascii="Arial Narrow" w:eastAsia="SimSun" w:hAnsi="Arial Narrow"/>
                <w:b/>
                <w:bCs/>
                <w:sz w:val="22"/>
                <w:szCs w:val="22"/>
                <w:lang w:eastAsia="zh-CN"/>
              </w:rPr>
              <w:t>methodological innovation</w:t>
            </w:r>
            <w:r w:rsidR="005036A0" w:rsidRPr="00BB19FC">
              <w:rPr>
                <w:rFonts w:ascii="Arial Narrow" w:eastAsia="SimSun" w:hAnsi="Arial Narrow"/>
                <w:sz w:val="22"/>
                <w:szCs w:val="22"/>
                <w:lang w:eastAsia="zh-CN"/>
              </w:rPr>
              <w:t>, offering advanced training in </w:t>
            </w:r>
            <w:r w:rsidR="005036A0" w:rsidRPr="00BB19FC">
              <w:rPr>
                <w:rFonts w:ascii="Arial Narrow" w:eastAsia="SimSun" w:hAnsi="Arial Narrow"/>
                <w:b/>
                <w:bCs/>
                <w:sz w:val="22"/>
                <w:szCs w:val="22"/>
                <w:lang w:eastAsia="zh-CN"/>
              </w:rPr>
              <w:t>digital methods</w:t>
            </w:r>
            <w:r w:rsidR="005036A0" w:rsidRPr="00BB19FC">
              <w:rPr>
                <w:rFonts w:ascii="Arial Narrow" w:eastAsia="SimSun" w:hAnsi="Arial Narrow"/>
                <w:sz w:val="22"/>
                <w:szCs w:val="22"/>
                <w:lang w:eastAsia="zh-CN"/>
              </w:rPr>
              <w:t> for social research, such as social media data mining, practice oriented digital hacking, visual methods and critical approaches to big data. It also provides expert training in </w:t>
            </w:r>
            <w:r w:rsidR="005036A0" w:rsidRPr="00BB19FC">
              <w:rPr>
                <w:rFonts w:ascii="Arial Narrow" w:eastAsia="SimSun" w:hAnsi="Arial Narrow"/>
                <w:b/>
                <w:bCs/>
                <w:sz w:val="22"/>
                <w:szCs w:val="22"/>
                <w:lang w:eastAsia="zh-CN"/>
              </w:rPr>
              <w:t>social media research ethics.</w:t>
            </w:r>
          </w:p>
        </w:tc>
      </w:tr>
      <w:tr w:rsidR="005036A0" w:rsidRPr="00F7245D" w14:paraId="48294033" w14:textId="77777777" w:rsidTr="00FB3536">
        <w:tc>
          <w:tcPr>
            <w:tcW w:w="1951" w:type="dxa"/>
          </w:tcPr>
          <w:p w14:paraId="7110D49D"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Wellbeing, Health, and Communities</w:t>
            </w:r>
            <w:r>
              <w:rPr>
                <w:rFonts w:ascii="Arial Narrow" w:eastAsia="SimSun" w:hAnsi="Arial Narrow"/>
                <w:b/>
                <w:bCs/>
                <w:sz w:val="22"/>
                <w:szCs w:val="22"/>
                <w:lang w:eastAsia="zh-CN"/>
              </w:rPr>
              <w:t xml:space="preserve"> (WHC)</w:t>
            </w:r>
          </w:p>
          <w:p w14:paraId="2DB983F9" w14:textId="77777777" w:rsidR="005036A0" w:rsidRPr="00F7245D" w:rsidRDefault="005036A0" w:rsidP="00FB3536">
            <w:pPr>
              <w:rPr>
                <w:rFonts w:ascii="Arial Narrow" w:eastAsia="SimSun" w:hAnsi="Arial Narrow"/>
                <w:sz w:val="22"/>
                <w:szCs w:val="22"/>
                <w:lang w:eastAsia="zh-CN"/>
              </w:rPr>
            </w:pPr>
          </w:p>
        </w:tc>
        <w:tc>
          <w:tcPr>
            <w:tcW w:w="7371" w:type="dxa"/>
          </w:tcPr>
          <w:p w14:paraId="4108A187"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This pathway addresses the grand challenges for health and wellbeing in communities including (but not limited to) inequalities in health for example, linked to race, income and social background, access to health care, healthy ageing and dementia, obesity, emergency care, mental health, patient safety and now living in a pandemic.</w:t>
            </w:r>
          </w:p>
          <w:p w14:paraId="0329891F"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pathway uses multi-disciplinary perspectives to help understand how to tackle these grand challenges drawing on insights from sociologists, psychologists, health economists, the health professions, public health practitioners, social workers, health technologists and partnerships including local authorities, social care, the voluntary sector and the NHS.</w:t>
            </w:r>
          </w:p>
          <w:p w14:paraId="6B7E0BE7"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In addition, inclusion and resilience connections are made in this pathway between health, employment, employability, unemployment and work psychology.</w:t>
            </w:r>
          </w:p>
          <w:p w14:paraId="5D9B8C1D"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partnership includes expertise in communities including (but not limited to) B</w:t>
            </w:r>
            <w:r w:rsidRPr="00BB19FC">
              <w:rPr>
                <w:rFonts w:eastAsia="SimSun"/>
                <w:sz w:val="22"/>
                <w:szCs w:val="22"/>
                <w:lang w:eastAsia="zh-CN"/>
              </w:rPr>
              <w:t>​</w:t>
            </w:r>
            <w:r w:rsidRPr="00BB19FC">
              <w:rPr>
                <w:rFonts w:ascii="Arial Narrow" w:eastAsia="SimSun" w:hAnsi="Arial Narrow"/>
                <w:sz w:val="22"/>
                <w:szCs w:val="22"/>
                <w:lang w:eastAsia="zh-CN"/>
              </w:rPr>
              <w:t>lack, Minority Ethnic</w:t>
            </w:r>
            <w:r w:rsidRPr="00BB19FC">
              <w:rPr>
                <w:rFonts w:ascii="Arial Narrow" w:eastAsia="SimSun" w:hAnsi="Arial Narrow" w:cs="Arial Narrow"/>
                <w:sz w:val="22"/>
                <w:szCs w:val="22"/>
                <w:lang w:eastAsia="zh-CN"/>
              </w:rPr>
              <w:t> </w:t>
            </w:r>
            <w:r w:rsidRPr="00BB19FC">
              <w:rPr>
                <w:rFonts w:ascii="Arial Narrow" w:eastAsia="SimSun" w:hAnsi="Arial Narrow"/>
                <w:sz w:val="22"/>
                <w:szCs w:val="22"/>
                <w:lang w:eastAsia="zh-CN"/>
              </w:rPr>
              <w:t>and migrant groups, other marginalised groups, children, older people and those living with life-limiting conditions.</w:t>
            </w:r>
          </w:p>
          <w:p w14:paraId="335B145F" w14:textId="77777777" w:rsidR="005036A0" w:rsidRPr="00F7245D"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Our methodological expertise includes qualitative and quantitative approaches, intervention development and evaluation, modelling and economic evaluation, and cost-effectiveness of health policy interventions.</w:t>
            </w:r>
          </w:p>
        </w:tc>
      </w:tr>
      <w:tr w:rsidR="005036A0" w:rsidRPr="00F7245D" w14:paraId="31D39415" w14:textId="77777777" w:rsidTr="00FB3536">
        <w:tc>
          <w:tcPr>
            <w:tcW w:w="1951" w:type="dxa"/>
          </w:tcPr>
          <w:p w14:paraId="7190CD80" w14:textId="77777777" w:rsidR="005036A0" w:rsidRPr="00F7245D" w:rsidRDefault="005036A0" w:rsidP="00FB3536">
            <w:pPr>
              <w:rPr>
                <w:rFonts w:ascii="Arial Narrow" w:eastAsia="SimSun" w:hAnsi="Arial Narrow"/>
                <w:sz w:val="22"/>
                <w:szCs w:val="22"/>
                <w:lang w:eastAsia="zh-CN"/>
              </w:rPr>
            </w:pPr>
            <w:r w:rsidRPr="00F7245D">
              <w:rPr>
                <w:rFonts w:ascii="Arial Narrow" w:eastAsia="SimSun" w:hAnsi="Arial Narrow"/>
                <w:b/>
                <w:bCs/>
                <w:sz w:val="22"/>
                <w:szCs w:val="22"/>
                <w:lang w:eastAsia="zh-CN"/>
              </w:rPr>
              <w:t>Sustainable Growth, Management, and Economic Productivity</w:t>
            </w:r>
            <w:r>
              <w:rPr>
                <w:rFonts w:ascii="Arial Narrow" w:eastAsia="SimSun" w:hAnsi="Arial Narrow"/>
                <w:b/>
                <w:bCs/>
                <w:sz w:val="22"/>
                <w:szCs w:val="22"/>
                <w:lang w:eastAsia="zh-CN"/>
              </w:rPr>
              <w:t xml:space="preserve"> (SMP)</w:t>
            </w:r>
          </w:p>
        </w:tc>
        <w:tc>
          <w:tcPr>
            <w:tcW w:w="7371" w:type="dxa"/>
          </w:tcPr>
          <w:p w14:paraId="0DC1C1DD" w14:textId="77777777" w:rsidR="00307F7E" w:rsidRPr="00307F7E" w:rsidRDefault="00307F7E" w:rsidP="00307F7E">
            <w:pPr>
              <w:jc w:val="both"/>
              <w:rPr>
                <w:rFonts w:ascii="Arial Narrow" w:eastAsia="SimSun" w:hAnsi="Arial Narrow"/>
                <w:sz w:val="22"/>
                <w:szCs w:val="22"/>
                <w:lang w:eastAsia="zh-CN"/>
              </w:rPr>
            </w:pPr>
            <w:r w:rsidRPr="00307F7E">
              <w:rPr>
                <w:rFonts w:ascii="Arial Narrow" w:eastAsia="SimSun" w:hAnsi="Arial Narrow"/>
                <w:sz w:val="22"/>
                <w:szCs w:val="22"/>
                <w:lang w:eastAsia="zh-CN"/>
              </w:rPr>
              <w:t>The Sustainable Growth, Management, and Economic Productivity Pathway engages with several major areas of research that cut across many levels of society. These areas of interest include productivity and sustainable economic growth at multi-level scales, from firm, to sectoral, to regional, national and global levels; wages, finance, financialisation, skills and welfare; macro-level economics and other levels of micro-analysis to capture complex systems of management, regulation, and governance, including ethics, marketing, work and employment relations, accounting and finance, and public services; economic development, business support, and the sustainability of economic policies and interventions; sustainability of production and consumption practices and alternative models of business. Debates about the future of work and the role of consumption in society are central to the Pathway’s interrogation of how we live now and sustainability acts as a fundamental link across the broad Pathway themes. Members of the Pathway team come from a range of academic disciplines including business, management, economics, geography, environment, marketing, and finance.</w:t>
            </w:r>
          </w:p>
          <w:p w14:paraId="5D36FA4C" w14:textId="77777777" w:rsidR="00307F7E" w:rsidRPr="00307F7E" w:rsidRDefault="00307F7E" w:rsidP="00307F7E">
            <w:pPr>
              <w:jc w:val="both"/>
              <w:rPr>
                <w:rFonts w:ascii="Arial Narrow" w:eastAsia="SimSun" w:hAnsi="Arial Narrow"/>
                <w:sz w:val="22"/>
                <w:szCs w:val="22"/>
                <w:lang w:eastAsia="zh-CN"/>
              </w:rPr>
            </w:pPr>
          </w:p>
          <w:p w14:paraId="212D2C99" w14:textId="77777777" w:rsidR="00307F7E" w:rsidRPr="00307F7E" w:rsidRDefault="00307F7E" w:rsidP="00307F7E">
            <w:pPr>
              <w:jc w:val="both"/>
              <w:rPr>
                <w:rFonts w:ascii="Arial Narrow" w:eastAsia="SimSun" w:hAnsi="Arial Narrow"/>
                <w:sz w:val="22"/>
                <w:szCs w:val="22"/>
                <w:lang w:eastAsia="zh-CN"/>
              </w:rPr>
            </w:pPr>
            <w:r w:rsidRPr="00307F7E">
              <w:rPr>
                <w:rFonts w:ascii="Arial Narrow" w:eastAsia="SimSun" w:hAnsi="Arial Narrow"/>
                <w:sz w:val="22"/>
                <w:szCs w:val="22"/>
                <w:lang w:eastAsia="zh-CN"/>
              </w:rPr>
              <w:t>The Pathway draws on this range of disciplines to offer interdisciplinary training in topics such as work, employment, productivity and the impact of new technology; sustainable urban, rural and regional development; research in finance; and historical methods in social research.</w:t>
            </w:r>
          </w:p>
          <w:p w14:paraId="5D14AE24" w14:textId="77777777" w:rsidR="00307F7E" w:rsidRPr="00307F7E" w:rsidRDefault="00307F7E" w:rsidP="00307F7E">
            <w:pPr>
              <w:jc w:val="both"/>
              <w:rPr>
                <w:rFonts w:ascii="Arial Narrow" w:eastAsia="SimSun" w:hAnsi="Arial Narrow"/>
                <w:sz w:val="22"/>
                <w:szCs w:val="22"/>
                <w:lang w:eastAsia="zh-CN"/>
              </w:rPr>
            </w:pPr>
          </w:p>
          <w:p w14:paraId="42EDA4AF" w14:textId="0F0CC665" w:rsidR="005036A0" w:rsidRPr="00F7245D" w:rsidRDefault="00307F7E" w:rsidP="00307F7E">
            <w:pPr>
              <w:jc w:val="both"/>
              <w:rPr>
                <w:rFonts w:ascii="Arial Narrow" w:eastAsia="SimSun" w:hAnsi="Arial Narrow"/>
                <w:sz w:val="22"/>
                <w:szCs w:val="22"/>
                <w:lang w:eastAsia="zh-CN"/>
              </w:rPr>
            </w:pPr>
            <w:r w:rsidRPr="00307F7E">
              <w:rPr>
                <w:rFonts w:ascii="Arial Narrow" w:eastAsia="SimSun" w:hAnsi="Arial Narrow"/>
                <w:sz w:val="22"/>
                <w:szCs w:val="22"/>
                <w:lang w:eastAsia="zh-CN"/>
              </w:rPr>
              <w:t>In addition, the Pathway offers skills and development training through events such as regular writing days, how to publish, making research relevant to policy, applying for grants, and career development sessions, all related to SMP research. The Pathway also provides opportunities for members to present their own research at the White Rose Annual Conference.</w:t>
            </w:r>
          </w:p>
        </w:tc>
      </w:tr>
      <w:tr w:rsidR="005036A0" w:rsidRPr="00F7245D" w14:paraId="55A2E63F" w14:textId="77777777" w:rsidTr="00FB3536">
        <w:tc>
          <w:tcPr>
            <w:tcW w:w="1951" w:type="dxa"/>
          </w:tcPr>
          <w:p w14:paraId="1CE4C08C"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Civil Society, Development, and Democracy</w:t>
            </w:r>
            <w:r>
              <w:rPr>
                <w:rFonts w:ascii="Arial Narrow" w:eastAsia="SimSun" w:hAnsi="Arial Narrow"/>
                <w:b/>
                <w:bCs/>
                <w:sz w:val="22"/>
                <w:szCs w:val="22"/>
                <w:lang w:eastAsia="zh-CN"/>
              </w:rPr>
              <w:t xml:space="preserve"> (CDD)</w:t>
            </w:r>
          </w:p>
          <w:p w14:paraId="0EBB8950" w14:textId="77777777" w:rsidR="005036A0" w:rsidRPr="00F7245D" w:rsidRDefault="005036A0" w:rsidP="00FB3536">
            <w:pPr>
              <w:rPr>
                <w:rFonts w:ascii="Arial Narrow" w:eastAsia="SimSun" w:hAnsi="Arial Narrow"/>
                <w:b/>
                <w:bCs/>
                <w:sz w:val="22"/>
                <w:szCs w:val="22"/>
                <w:lang w:eastAsia="zh-CN"/>
              </w:rPr>
            </w:pPr>
          </w:p>
        </w:tc>
        <w:tc>
          <w:tcPr>
            <w:tcW w:w="7371" w:type="dxa"/>
          </w:tcPr>
          <w:p w14:paraId="4B8F7C5B"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Civil Society, Development and Democracy (CDD) pathway seeks to comprehend the ways in which our systems and institutions of governance – in both the richer and poorer parts of the world – are evolving in a period marked by pronounced forms of contestation and crisis. We live in an era of fundamental structural change: from the global financial crisis of 2008 to the Covid-19 pandemic and beyond, and amid both a looming environmental emergency and the so-called fourth industrial revolution typified by automation and the rise of giant digital monopolies, existing ways of ordering the world, and thinking about it, are in pronounced flux, posing epochal challenges for development, democracy and citizenship. Within this kaleidoscopic picture, then, we seek to locate and better understand the nature of contemporary civil society: i.e. how individuals, families, communities and societies as a whole shape and are shaped by broad processes of power and global political change.</w:t>
            </w:r>
          </w:p>
          <w:p w14:paraId="5AA29509" w14:textId="77777777" w:rsidR="005036A0" w:rsidRPr="00BB19FC" w:rsidRDefault="005036A0" w:rsidP="00FB3536">
            <w:pPr>
              <w:jc w:val="both"/>
              <w:rPr>
                <w:rFonts w:ascii="Arial Narrow" w:eastAsia="SimSun" w:hAnsi="Arial Narrow"/>
                <w:sz w:val="22"/>
                <w:szCs w:val="22"/>
                <w:lang w:eastAsia="zh-CN"/>
              </w:rPr>
            </w:pPr>
          </w:p>
          <w:p w14:paraId="2A3C5C47"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This compels us to ask questions about the resilience of democracy, the extent to which particular forms of governance are legitimate, and how citizenship is exercised in different places in the modern world. In turn, these issues are fundamentally mediated by pronounced forms of inequality, both within and between societies; patterns of uneven development, as countries and regions experience contrasting patterns of growth and decay; and the kinds of policies and agendas that shape development policy at the national and global levels. 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p w14:paraId="68ACD9BF" w14:textId="77777777" w:rsidR="005036A0" w:rsidRPr="00BB19FC" w:rsidRDefault="005036A0" w:rsidP="00FB3536">
            <w:pPr>
              <w:jc w:val="both"/>
              <w:rPr>
                <w:rFonts w:ascii="Arial Narrow" w:eastAsia="SimSun" w:hAnsi="Arial Narrow"/>
                <w:sz w:val="22"/>
                <w:szCs w:val="22"/>
                <w:lang w:eastAsia="zh-CN"/>
              </w:rPr>
            </w:pPr>
          </w:p>
          <w:p w14:paraId="4A2A58F1" w14:textId="77777777" w:rsidR="005036A0" w:rsidRPr="00F7245D"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lastRenderedPageBreak/>
              <w:t>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tc>
      </w:tr>
    </w:tbl>
    <w:p w14:paraId="6567F0C7" w14:textId="538A13B1" w:rsidR="00D4684E" w:rsidRDefault="00D4684E" w:rsidP="001871E0">
      <w:pPr>
        <w:spacing w:before="0" w:line="240" w:lineRule="auto"/>
        <w:rPr>
          <w:rFonts w:asciiTheme="minorBidi" w:hAnsiTheme="minorBidi" w:cstheme="minorBidi"/>
          <w:b/>
          <w:bCs/>
          <w:sz w:val="22"/>
          <w:szCs w:val="22"/>
        </w:rPr>
      </w:pPr>
    </w:p>
    <w:p w14:paraId="732253E0" w14:textId="261C5705" w:rsidR="00307F7E" w:rsidRDefault="00307F7E" w:rsidP="001871E0">
      <w:pPr>
        <w:spacing w:before="0" w:line="240" w:lineRule="auto"/>
        <w:rPr>
          <w:rFonts w:asciiTheme="minorBidi" w:hAnsiTheme="minorBidi" w:cstheme="minorBidi"/>
          <w:b/>
          <w:bCs/>
          <w:sz w:val="22"/>
          <w:szCs w:val="22"/>
        </w:rPr>
      </w:pPr>
    </w:p>
    <w:p w14:paraId="28431796" w14:textId="79512E29" w:rsidR="00307F7E" w:rsidRDefault="00307F7E" w:rsidP="001871E0">
      <w:pPr>
        <w:spacing w:before="0" w:line="240" w:lineRule="auto"/>
        <w:rPr>
          <w:rFonts w:asciiTheme="minorBidi" w:hAnsiTheme="minorBidi" w:cstheme="minorBidi"/>
          <w:b/>
          <w:bCs/>
          <w:sz w:val="22"/>
          <w:szCs w:val="22"/>
        </w:rPr>
      </w:pPr>
    </w:p>
    <w:p w14:paraId="3A64D9AD" w14:textId="77777777" w:rsidR="00307F7E" w:rsidRDefault="00307F7E" w:rsidP="001871E0">
      <w:pPr>
        <w:spacing w:before="0" w:line="240" w:lineRule="auto"/>
        <w:rPr>
          <w:rFonts w:asciiTheme="minorBidi" w:hAnsiTheme="minorBidi" w:cstheme="minorBidi"/>
          <w:b/>
          <w:bCs/>
          <w:sz w:val="22"/>
          <w:szCs w:val="22"/>
        </w:rPr>
      </w:pPr>
      <w:bookmarkStart w:id="0" w:name="_GoBack"/>
      <w:bookmarkEnd w:id="0"/>
    </w:p>
    <w:p w14:paraId="3D5C7266" w14:textId="77777777" w:rsidR="005063AD" w:rsidRDefault="005063AD" w:rsidP="001871E0">
      <w:pPr>
        <w:spacing w:before="0" w:line="240" w:lineRule="auto"/>
        <w:rPr>
          <w:rFonts w:asciiTheme="minorBidi" w:hAnsiTheme="minorBidi" w:cstheme="minorBidi"/>
          <w:b/>
          <w:bCs/>
          <w:sz w:val="22"/>
          <w:szCs w:val="22"/>
        </w:rPr>
      </w:pPr>
    </w:p>
    <w:p w14:paraId="3E5D2681" w14:textId="72BB2171" w:rsidR="001871E0" w:rsidRPr="00017C21" w:rsidRDefault="001871E0" w:rsidP="001871E0">
      <w:pPr>
        <w:spacing w:before="0" w:line="240" w:lineRule="auto"/>
        <w:rPr>
          <w:rFonts w:asciiTheme="minorBidi" w:hAnsiTheme="minorBidi" w:cstheme="minorBidi"/>
          <w:b/>
          <w:bCs/>
          <w:sz w:val="22"/>
          <w:szCs w:val="22"/>
        </w:rPr>
      </w:pPr>
      <w:r w:rsidRPr="00017C21">
        <w:rPr>
          <w:rFonts w:asciiTheme="minorBidi" w:hAnsiTheme="minorBidi" w:cstheme="minorBidi"/>
          <w:b/>
          <w:bCs/>
          <w:sz w:val="22"/>
          <w:szCs w:val="22"/>
        </w:rPr>
        <w:t xml:space="preserve">List of eligible departments </w:t>
      </w:r>
      <w:r w:rsidR="00017C21">
        <w:rPr>
          <w:rFonts w:asciiTheme="minorBidi" w:hAnsiTheme="minorBidi" w:cstheme="minorBidi"/>
          <w:b/>
          <w:bCs/>
          <w:sz w:val="22"/>
          <w:szCs w:val="22"/>
        </w:rPr>
        <w:t>on each Pathway</w:t>
      </w:r>
    </w:p>
    <w:p w14:paraId="169AFC1B" w14:textId="77777777" w:rsidR="001871E0" w:rsidRPr="00017C21" w:rsidRDefault="001871E0" w:rsidP="001871E0">
      <w:pPr>
        <w:spacing w:before="0" w:line="240" w:lineRule="auto"/>
        <w:rPr>
          <w:rFonts w:asciiTheme="minorBidi" w:hAnsiTheme="minorBidi" w:cstheme="minorBidi"/>
          <w:sz w:val="22"/>
          <w:szCs w:val="22"/>
        </w:rPr>
      </w:pPr>
    </w:p>
    <w:p w14:paraId="52C65819"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Manchester Metropolitan University</w:t>
      </w:r>
    </w:p>
    <w:p w14:paraId="1E2E8B14" w14:textId="77777777"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Department of Social Care and Social Work – </w:t>
      </w:r>
      <w:r w:rsidRPr="00D45C9B">
        <w:rPr>
          <w:rFonts w:ascii="Arial Narrow" w:hAnsi="Arial Narrow" w:cstheme="minorBidi"/>
          <w:i/>
          <w:iCs/>
          <w:color w:val="000000"/>
          <w:sz w:val="22"/>
          <w:szCs w:val="22"/>
          <w:lang w:eastAsia="zh-CN"/>
        </w:rPr>
        <w:t>Education, Childhood, and Youth Pathway; Wellbeing, Health, and Communities Pathway</w:t>
      </w:r>
    </w:p>
    <w:p w14:paraId="7A9A497E" w14:textId="77777777"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Faculty of Education – </w:t>
      </w:r>
      <w:r w:rsidRPr="00D45C9B">
        <w:rPr>
          <w:rFonts w:ascii="Arial Narrow" w:hAnsi="Arial Narrow" w:cstheme="minorBidi"/>
          <w:i/>
          <w:iCs/>
          <w:color w:val="000000"/>
          <w:sz w:val="22"/>
          <w:szCs w:val="22"/>
          <w:lang w:eastAsia="zh-CN"/>
        </w:rPr>
        <w:t>Education, Childhood, and Youth Pathway</w:t>
      </w:r>
    </w:p>
    <w:p w14:paraId="0C024EB4" w14:textId="77777777" w:rsidR="001871E0" w:rsidRPr="00D45C9B" w:rsidRDefault="001871E0" w:rsidP="001871E0">
      <w:pPr>
        <w:spacing w:before="0" w:line="240" w:lineRule="auto"/>
        <w:rPr>
          <w:rFonts w:ascii="Arial Narrow" w:hAnsi="Arial Narrow" w:cstheme="minorBidi"/>
          <w:color w:val="000000"/>
          <w:sz w:val="22"/>
          <w:szCs w:val="22"/>
          <w:lang w:eastAsia="zh-CN"/>
        </w:rPr>
      </w:pPr>
    </w:p>
    <w:p w14:paraId="4F920078"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Sheffield Hallam University</w:t>
      </w:r>
    </w:p>
    <w:p w14:paraId="2F28D476" w14:textId="77777777"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Centre for Regional Economic and Social Research – </w:t>
      </w:r>
      <w:r w:rsidRPr="00D45C9B">
        <w:rPr>
          <w:rFonts w:ascii="Arial Narrow" w:hAnsi="Arial Narrow" w:cstheme="minorBidi"/>
          <w:i/>
          <w:iCs/>
          <w:color w:val="000000"/>
          <w:sz w:val="22"/>
          <w:szCs w:val="22"/>
          <w:lang w:eastAsia="zh-CN"/>
        </w:rPr>
        <w:t>Cities, Environment, and Liveability Pathway; Wellbeing, Health, and Communities Pathway; Civil Society, Development, and Democracy Pathway</w:t>
      </w:r>
    </w:p>
    <w:p w14:paraId="4C6B76AD"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Sheffield Institute of Education – </w:t>
      </w:r>
      <w:r w:rsidRPr="00D45C9B">
        <w:rPr>
          <w:rFonts w:ascii="Arial Narrow" w:hAnsi="Arial Narrow" w:cstheme="minorBidi"/>
          <w:i/>
          <w:iCs/>
          <w:color w:val="000000"/>
          <w:sz w:val="22"/>
          <w:szCs w:val="22"/>
          <w:lang w:eastAsia="zh-CN"/>
        </w:rPr>
        <w:t>Education, Childhood, and Youth Pathway</w:t>
      </w:r>
    </w:p>
    <w:p w14:paraId="51B4B372" w14:textId="77777777" w:rsidR="001871E0" w:rsidRPr="00D45C9B" w:rsidRDefault="001871E0" w:rsidP="001871E0">
      <w:pPr>
        <w:spacing w:before="0" w:line="240" w:lineRule="auto"/>
        <w:rPr>
          <w:rFonts w:ascii="Arial Narrow" w:hAnsi="Arial Narrow" w:cstheme="minorBidi"/>
          <w:color w:val="000000"/>
          <w:sz w:val="22"/>
          <w:szCs w:val="22"/>
          <w:lang w:eastAsia="zh-CN"/>
        </w:rPr>
      </w:pPr>
    </w:p>
    <w:p w14:paraId="1C550C22"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University of Bradford</w:t>
      </w:r>
    </w:p>
    <w:p w14:paraId="05BF4787" w14:textId="77777777"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Centre for Applied Dementia Studies, Faculty of Health Studies – </w:t>
      </w:r>
      <w:r w:rsidRPr="00D45C9B">
        <w:rPr>
          <w:rFonts w:ascii="Arial Narrow" w:hAnsi="Arial Narrow" w:cstheme="minorBidi"/>
          <w:i/>
          <w:color w:val="000000"/>
          <w:sz w:val="22"/>
          <w:szCs w:val="22"/>
          <w:lang w:eastAsia="zh-CN"/>
        </w:rPr>
        <w:t>Wellbeing, Health and Communities Pathway</w:t>
      </w:r>
    </w:p>
    <w:p w14:paraId="1627AAFC" w14:textId="77777777"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Faculty of Health Studies – </w:t>
      </w:r>
      <w:r w:rsidRPr="00D45C9B">
        <w:rPr>
          <w:rFonts w:ascii="Arial Narrow" w:hAnsi="Arial Narrow" w:cstheme="minorBidi"/>
          <w:i/>
          <w:color w:val="000000"/>
          <w:sz w:val="22"/>
          <w:szCs w:val="22"/>
          <w:lang w:eastAsia="zh-CN"/>
        </w:rPr>
        <w:t>Wellbeing, Health and Communities Pathway</w:t>
      </w:r>
    </w:p>
    <w:p w14:paraId="0AD74E15" w14:textId="77777777"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School of Pharmacy and Medical Sciences, Faculty of Life Sciences – </w:t>
      </w:r>
      <w:r w:rsidRPr="00D45C9B">
        <w:rPr>
          <w:rFonts w:ascii="Arial Narrow" w:hAnsi="Arial Narrow" w:cstheme="minorBidi"/>
          <w:i/>
          <w:color w:val="000000"/>
          <w:sz w:val="22"/>
          <w:szCs w:val="22"/>
          <w:lang w:eastAsia="zh-CN"/>
        </w:rPr>
        <w:t>Wellbeing, Health and Communities Pathway</w:t>
      </w:r>
    </w:p>
    <w:p w14:paraId="00DB2884" w14:textId="77777777" w:rsidR="005F54BF" w:rsidRPr="00D45C9B" w:rsidRDefault="005F54BF" w:rsidP="005F54BF">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Archaeological and Forensic Sciences, Faculty of Life Sciences – </w:t>
      </w:r>
      <w:r w:rsidRPr="00D45C9B">
        <w:rPr>
          <w:rFonts w:ascii="Arial Narrow" w:hAnsi="Arial Narrow" w:cstheme="minorBidi"/>
          <w:i/>
          <w:color w:val="000000"/>
          <w:sz w:val="22"/>
          <w:szCs w:val="22"/>
          <w:lang w:eastAsia="zh-CN"/>
        </w:rPr>
        <w:t>Wellbeing, Health and Communities Pathway</w:t>
      </w:r>
    </w:p>
    <w:p w14:paraId="72ADFBDC" w14:textId="77777777" w:rsidR="001871E0" w:rsidRPr="00D45C9B" w:rsidRDefault="005F54BF" w:rsidP="005F54BF">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Management - </w:t>
      </w:r>
      <w:r w:rsidRPr="00D45C9B">
        <w:rPr>
          <w:rFonts w:ascii="Arial Narrow" w:hAnsi="Arial Narrow" w:cstheme="minorBidi"/>
          <w:i/>
          <w:color w:val="000000"/>
          <w:sz w:val="22"/>
          <w:szCs w:val="22"/>
          <w:lang w:eastAsia="zh-CN"/>
        </w:rPr>
        <w:t>Wellbeing, Health and Communities Pathway; Sustainable Growth, Management, and Economic Productivity Pathway</w:t>
      </w:r>
    </w:p>
    <w:p w14:paraId="17A411B3" w14:textId="77777777" w:rsidR="005F54BF" w:rsidRPr="00D45C9B" w:rsidRDefault="005F54BF" w:rsidP="005F54BF">
      <w:pPr>
        <w:spacing w:before="0" w:line="240" w:lineRule="auto"/>
        <w:rPr>
          <w:rFonts w:ascii="Arial Narrow" w:hAnsi="Arial Narrow" w:cstheme="minorBidi"/>
          <w:b/>
          <w:bCs/>
          <w:color w:val="000000"/>
          <w:sz w:val="22"/>
          <w:szCs w:val="22"/>
          <w:lang w:eastAsia="zh-CN"/>
        </w:rPr>
      </w:pPr>
    </w:p>
    <w:p w14:paraId="0C47B8E7"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University of Hull</w:t>
      </w:r>
    </w:p>
    <w:p w14:paraId="64E36867" w14:textId="77777777" w:rsidR="004916AD" w:rsidRPr="004916AD" w:rsidRDefault="004916AD" w:rsidP="004916AD">
      <w:pPr>
        <w:spacing w:before="0" w:line="240" w:lineRule="auto"/>
        <w:rPr>
          <w:rFonts w:ascii="Arial Narrow" w:hAnsi="Arial Narrow"/>
          <w:i/>
          <w:iCs/>
          <w:color w:val="222222"/>
          <w:sz w:val="22"/>
          <w:szCs w:val="22"/>
          <w:shd w:val="clear" w:color="auto" w:fill="FFFFFF"/>
        </w:rPr>
      </w:pPr>
      <w:r w:rsidRPr="004916AD">
        <w:rPr>
          <w:rFonts w:ascii="Arial Narrow" w:hAnsi="Arial Narrow"/>
          <w:color w:val="222222"/>
          <w:sz w:val="22"/>
          <w:szCs w:val="22"/>
          <w:shd w:val="clear" w:color="auto" w:fill="FFFFFF"/>
        </w:rPr>
        <w:t xml:space="preserve">Department of History – </w:t>
      </w:r>
      <w:r w:rsidRPr="004916AD">
        <w:rPr>
          <w:rFonts w:ascii="Arial Narrow" w:hAnsi="Arial Narrow"/>
          <w:i/>
          <w:iCs/>
          <w:color w:val="222222"/>
          <w:sz w:val="22"/>
          <w:szCs w:val="22"/>
          <w:shd w:val="clear" w:color="auto" w:fill="FFFFFF"/>
        </w:rPr>
        <w:t>Cities, Environment, and Liveability Pathway</w:t>
      </w:r>
    </w:p>
    <w:p w14:paraId="03292425" w14:textId="77777777" w:rsidR="004916AD" w:rsidRPr="004916AD" w:rsidRDefault="004916AD" w:rsidP="004916AD">
      <w:pPr>
        <w:spacing w:before="0" w:line="240" w:lineRule="auto"/>
        <w:rPr>
          <w:rFonts w:ascii="Arial Narrow" w:hAnsi="Arial Narrow"/>
          <w:i/>
          <w:iCs/>
          <w:color w:val="222222"/>
          <w:sz w:val="22"/>
          <w:szCs w:val="22"/>
          <w:shd w:val="clear" w:color="auto" w:fill="FFFFFF"/>
        </w:rPr>
      </w:pPr>
      <w:r w:rsidRPr="004916AD">
        <w:rPr>
          <w:rFonts w:ascii="Arial Narrow" w:hAnsi="Arial Narrow"/>
          <w:color w:val="222222"/>
          <w:sz w:val="22"/>
          <w:szCs w:val="22"/>
          <w:shd w:val="clear" w:color="auto" w:fill="FFFFFF"/>
        </w:rPr>
        <w:t xml:space="preserve">Department of Psychology – </w:t>
      </w:r>
      <w:r w:rsidRPr="004916AD">
        <w:rPr>
          <w:rFonts w:ascii="Arial Narrow" w:hAnsi="Arial Narrow"/>
          <w:i/>
          <w:iCs/>
          <w:color w:val="222222"/>
          <w:sz w:val="22"/>
          <w:szCs w:val="22"/>
          <w:shd w:val="clear" w:color="auto" w:fill="FFFFFF"/>
        </w:rPr>
        <w:t>Education, Childhood, and Youth Pathway; Wellbeing, Health and Communities Pathway</w:t>
      </w:r>
    </w:p>
    <w:p w14:paraId="5C5C420F" w14:textId="77777777" w:rsidR="004916AD" w:rsidRPr="004916AD" w:rsidRDefault="004916AD" w:rsidP="004916AD">
      <w:pPr>
        <w:spacing w:before="0" w:line="240" w:lineRule="auto"/>
        <w:rPr>
          <w:rFonts w:ascii="Arial Narrow" w:hAnsi="Arial Narrow"/>
          <w:color w:val="222222"/>
          <w:sz w:val="22"/>
          <w:szCs w:val="22"/>
          <w:shd w:val="clear" w:color="auto" w:fill="FFFFFF"/>
        </w:rPr>
      </w:pPr>
      <w:r w:rsidRPr="004916AD">
        <w:rPr>
          <w:rFonts w:ascii="Arial Narrow" w:hAnsi="Arial Narrow"/>
          <w:color w:val="222222"/>
          <w:sz w:val="22"/>
          <w:szCs w:val="22"/>
          <w:shd w:val="clear" w:color="auto" w:fill="FFFFFF"/>
        </w:rPr>
        <w:t xml:space="preserve">Geography/Geology – </w:t>
      </w:r>
      <w:r w:rsidRPr="004916AD">
        <w:rPr>
          <w:rFonts w:ascii="Arial Narrow" w:hAnsi="Arial Narrow"/>
          <w:i/>
          <w:iCs/>
          <w:color w:val="222222"/>
          <w:sz w:val="22"/>
          <w:szCs w:val="22"/>
          <w:shd w:val="clear" w:color="auto" w:fill="FFFFFF"/>
        </w:rPr>
        <w:t>Cities, Environment, and Liveability Pathway; Sustainable Growth, Management, and Economic Productivity Pathway; Civil Society, Development, and Democracy Pathway</w:t>
      </w:r>
    </w:p>
    <w:p w14:paraId="25F35495" w14:textId="77777777" w:rsidR="001871E0" w:rsidRPr="00D45C9B" w:rsidRDefault="001871E0" w:rsidP="001871E0">
      <w:pPr>
        <w:spacing w:before="0" w:line="240" w:lineRule="auto"/>
        <w:rPr>
          <w:rFonts w:ascii="Arial Narrow" w:hAnsi="Arial Narrow" w:cstheme="minorBidi"/>
          <w:color w:val="000000"/>
          <w:sz w:val="22"/>
          <w:szCs w:val="22"/>
          <w:lang w:eastAsia="zh-CN"/>
        </w:rPr>
      </w:pPr>
    </w:p>
    <w:p w14:paraId="0300B0B3"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sz w:val="22"/>
          <w:szCs w:val="22"/>
        </w:rPr>
        <w:t>Un</w:t>
      </w:r>
      <w:r w:rsidRPr="00D45C9B">
        <w:rPr>
          <w:rFonts w:ascii="Arial Narrow" w:hAnsi="Arial Narrow" w:cstheme="minorBidi"/>
          <w:b/>
          <w:bCs/>
          <w:color w:val="000000"/>
          <w:sz w:val="22"/>
          <w:szCs w:val="22"/>
          <w:lang w:eastAsia="zh-CN"/>
        </w:rPr>
        <w:t xml:space="preserve">iversity of Leeds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14:paraId="4C876AF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Leeds University Business School</w:t>
      </w:r>
    </w:p>
    <w:p w14:paraId="021F5875"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Institute for Transport Studies </w:t>
      </w:r>
    </w:p>
    <w:p w14:paraId="0791390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Computing</w:t>
      </w:r>
    </w:p>
    <w:p w14:paraId="69448D3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Earth and Environment</w:t>
      </w:r>
    </w:p>
    <w:p w14:paraId="05E9799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Education</w:t>
      </w:r>
    </w:p>
    <w:p w14:paraId="68EB715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Geography</w:t>
      </w:r>
    </w:p>
    <w:p w14:paraId="2B693496" w14:textId="77777777" w:rsidR="001871E0" w:rsidRPr="00D45C9B" w:rsidRDefault="00D33FA3" w:rsidP="003475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Institute</w:t>
      </w:r>
      <w:r w:rsidR="001871E0" w:rsidRPr="00D45C9B">
        <w:rPr>
          <w:rFonts w:ascii="Arial Narrow" w:hAnsi="Arial Narrow" w:cstheme="minorBidi"/>
          <w:color w:val="000000"/>
          <w:sz w:val="22"/>
          <w:szCs w:val="22"/>
          <w:lang w:eastAsia="zh-CN"/>
        </w:rPr>
        <w:t xml:space="preserve"> of Health</w:t>
      </w:r>
      <w:r w:rsidR="003475E0" w:rsidRPr="00D45C9B">
        <w:rPr>
          <w:rFonts w:ascii="Arial Narrow" w:hAnsi="Arial Narrow" w:cstheme="minorBidi"/>
          <w:color w:val="000000"/>
          <w:sz w:val="22"/>
          <w:szCs w:val="22"/>
          <w:lang w:eastAsia="zh-CN"/>
        </w:rPr>
        <w:t xml:space="preserve"> Sciences</w:t>
      </w:r>
    </w:p>
    <w:p w14:paraId="7E13279E" w14:textId="77777777" w:rsidR="00A41CFE" w:rsidRPr="00D45C9B" w:rsidRDefault="00A41CFE" w:rsidP="003475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Healthcare</w:t>
      </w:r>
    </w:p>
    <w:p w14:paraId="3FE3E364" w14:textId="77777777" w:rsidR="001871E0" w:rsidRPr="00D45C9B" w:rsidRDefault="00D33FA3"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History</w:t>
      </w:r>
    </w:p>
    <w:p w14:paraId="24974B12"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Languages, Cultures and Societies</w:t>
      </w:r>
    </w:p>
    <w:p w14:paraId="5B27BFEA"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color w:val="000000"/>
          <w:sz w:val="22"/>
          <w:szCs w:val="22"/>
          <w:lang w:eastAsia="zh-CN"/>
        </w:rPr>
        <w:t>School of Law</w:t>
      </w:r>
      <w:r w:rsidRPr="00D45C9B">
        <w:rPr>
          <w:rFonts w:ascii="Arial Narrow" w:hAnsi="Arial Narrow" w:cstheme="minorBidi"/>
          <w:b/>
          <w:bCs/>
          <w:color w:val="000000"/>
          <w:sz w:val="22"/>
          <w:szCs w:val="22"/>
          <w:lang w:eastAsia="zh-CN"/>
        </w:rPr>
        <w:t xml:space="preserve"> </w:t>
      </w:r>
    </w:p>
    <w:p w14:paraId="1EFA4DB3"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Media and Communications</w:t>
      </w:r>
    </w:p>
    <w:p w14:paraId="03838FC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Politics and International Studies </w:t>
      </w:r>
    </w:p>
    <w:p w14:paraId="692F0D78"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Psychology</w:t>
      </w:r>
    </w:p>
    <w:p w14:paraId="4D24A86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Sociology and Social Policy</w:t>
      </w:r>
    </w:p>
    <w:p w14:paraId="125E7D20"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p>
    <w:p w14:paraId="4DF2DD16"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b/>
          <w:bCs/>
          <w:color w:val="000000"/>
          <w:sz w:val="22"/>
          <w:szCs w:val="22"/>
          <w:lang w:eastAsia="zh-CN"/>
        </w:rPr>
        <w:lastRenderedPageBreak/>
        <w:t xml:space="preserve">University of Sheffield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14:paraId="79187220"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Computer Science </w:t>
      </w:r>
    </w:p>
    <w:p w14:paraId="39DF2D5C"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Economics</w:t>
      </w:r>
    </w:p>
    <w:p w14:paraId="41DC067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Geography</w:t>
      </w:r>
    </w:p>
    <w:p w14:paraId="30F0566D"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History</w:t>
      </w:r>
    </w:p>
    <w:p w14:paraId="0F30559D"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Human Communication Sciences </w:t>
      </w:r>
    </w:p>
    <w:p w14:paraId="4C511C7C"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Journalism Studies</w:t>
      </w:r>
    </w:p>
    <w:p w14:paraId="5EBEA09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Landscape</w:t>
      </w:r>
    </w:p>
    <w:p w14:paraId="52233E4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Politics</w:t>
      </w:r>
    </w:p>
    <w:p w14:paraId="2D1A2FCC"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Psychology</w:t>
      </w:r>
    </w:p>
    <w:p w14:paraId="60A8697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Sociological Studies</w:t>
      </w:r>
    </w:p>
    <w:p w14:paraId="37E2071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Urban Studies and Planning</w:t>
      </w:r>
    </w:p>
    <w:p w14:paraId="7535EA0B"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Information School </w:t>
      </w:r>
    </w:p>
    <w:p w14:paraId="3060A42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Management School</w:t>
      </w:r>
    </w:p>
    <w:p w14:paraId="06864543"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Architecture</w:t>
      </w:r>
    </w:p>
    <w:p w14:paraId="681BCDB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East Asian Studies</w:t>
      </w:r>
    </w:p>
    <w:p w14:paraId="0DAEDB8A"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Education </w:t>
      </w:r>
    </w:p>
    <w:p w14:paraId="0829079E"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Health and Related Research </w:t>
      </w:r>
    </w:p>
    <w:p w14:paraId="2915DAA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Law </w:t>
      </w:r>
    </w:p>
    <w:p w14:paraId="46719FCB"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p>
    <w:p w14:paraId="100BFCE6"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 xml:space="preserve">University of York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14:paraId="36F1C85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Economics </w:t>
      </w:r>
    </w:p>
    <w:p w14:paraId="749F81B3"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Education </w:t>
      </w:r>
    </w:p>
    <w:p w14:paraId="263FB6E6"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Health Sciences </w:t>
      </w:r>
    </w:p>
    <w:p w14:paraId="75586D98"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History</w:t>
      </w:r>
    </w:p>
    <w:p w14:paraId="5C714A7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Language and Linguistic Science </w:t>
      </w:r>
    </w:p>
    <w:p w14:paraId="0142A6F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Politics</w:t>
      </w:r>
    </w:p>
    <w:p w14:paraId="750B8B72"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Psychology</w:t>
      </w:r>
    </w:p>
    <w:p w14:paraId="56F18615"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Social Policy and Social Work </w:t>
      </w:r>
    </w:p>
    <w:p w14:paraId="0AB1A7C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Sociology</w:t>
      </w:r>
    </w:p>
    <w:p w14:paraId="5C7E3018"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Environment Department</w:t>
      </w:r>
    </w:p>
    <w:p w14:paraId="7007E866" w14:textId="77777777" w:rsidR="003C1D2B" w:rsidRPr="00D45C9B" w:rsidRDefault="001871E0" w:rsidP="003C1D2B">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Law School</w:t>
      </w:r>
    </w:p>
    <w:p w14:paraId="7A6B8F88" w14:textId="77777777" w:rsidR="006F3310" w:rsidRPr="00D45C9B" w:rsidRDefault="001871E0" w:rsidP="003C1D2B">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Management School</w:t>
      </w:r>
    </w:p>
    <w:p w14:paraId="0B6E45A0" w14:textId="77777777" w:rsidR="006B456B" w:rsidRDefault="006B456B" w:rsidP="006B456B">
      <w:pPr>
        <w:spacing w:before="0" w:after="200"/>
        <w:rPr>
          <w:rFonts w:asciiTheme="minorBidi" w:hAnsiTheme="minorBidi" w:cstheme="minorBidi"/>
          <w:color w:val="000000"/>
          <w:sz w:val="22"/>
          <w:szCs w:val="22"/>
          <w:lang w:eastAsia="zh-CN"/>
        </w:rPr>
      </w:pPr>
    </w:p>
    <w:p w14:paraId="2071D049" w14:textId="77777777" w:rsidR="006B456B" w:rsidRDefault="006B456B" w:rsidP="006B456B">
      <w:pPr>
        <w:spacing w:before="0" w:after="200"/>
        <w:rPr>
          <w:rFonts w:asciiTheme="minorBidi" w:hAnsiTheme="minorBidi" w:cstheme="minorBidi"/>
          <w:color w:val="000000"/>
          <w:sz w:val="22"/>
          <w:szCs w:val="22"/>
          <w:lang w:eastAsia="zh-CN"/>
        </w:rPr>
      </w:pPr>
    </w:p>
    <w:p w14:paraId="49504D19" w14:textId="77777777" w:rsidR="006B456B" w:rsidRDefault="006B456B" w:rsidP="006B456B">
      <w:pPr>
        <w:spacing w:before="0" w:after="200"/>
        <w:rPr>
          <w:rFonts w:asciiTheme="minorBidi" w:hAnsiTheme="minorBidi" w:cstheme="minorBidi"/>
          <w:color w:val="000000"/>
          <w:sz w:val="22"/>
          <w:szCs w:val="22"/>
          <w:lang w:eastAsia="zh-CN"/>
        </w:rPr>
      </w:pPr>
    </w:p>
    <w:p w14:paraId="28AA83FC" w14:textId="77777777" w:rsidR="006B456B" w:rsidRDefault="006B456B" w:rsidP="006B456B">
      <w:pPr>
        <w:spacing w:before="0" w:after="200"/>
        <w:rPr>
          <w:rFonts w:asciiTheme="minorBidi" w:hAnsiTheme="minorBidi" w:cstheme="minorBidi"/>
          <w:color w:val="000000"/>
          <w:sz w:val="22"/>
          <w:szCs w:val="22"/>
          <w:lang w:eastAsia="zh-CN"/>
        </w:rPr>
      </w:pPr>
    </w:p>
    <w:p w14:paraId="30963476" w14:textId="77777777" w:rsidR="006B456B" w:rsidRDefault="006B456B" w:rsidP="006B456B">
      <w:pPr>
        <w:spacing w:before="0" w:after="200"/>
        <w:rPr>
          <w:rFonts w:asciiTheme="minorBidi" w:hAnsiTheme="minorBidi" w:cstheme="minorBidi"/>
          <w:color w:val="000000"/>
          <w:sz w:val="22"/>
          <w:szCs w:val="22"/>
          <w:lang w:eastAsia="zh-CN"/>
        </w:rPr>
      </w:pPr>
    </w:p>
    <w:p w14:paraId="0D676B83" w14:textId="77777777" w:rsidR="006B456B" w:rsidRDefault="006B456B" w:rsidP="006B456B">
      <w:pPr>
        <w:spacing w:before="0" w:after="200"/>
        <w:rPr>
          <w:rFonts w:asciiTheme="minorBidi" w:hAnsiTheme="minorBidi" w:cstheme="minorBidi"/>
          <w:color w:val="000000"/>
          <w:sz w:val="22"/>
          <w:szCs w:val="22"/>
          <w:lang w:eastAsia="zh-CN"/>
        </w:rPr>
      </w:pPr>
    </w:p>
    <w:p w14:paraId="53942F7E" w14:textId="77777777" w:rsidR="006B456B" w:rsidRDefault="006B456B" w:rsidP="006B456B">
      <w:pPr>
        <w:spacing w:before="0" w:after="200"/>
        <w:rPr>
          <w:rFonts w:asciiTheme="minorBidi" w:hAnsiTheme="minorBidi" w:cstheme="minorBidi"/>
          <w:color w:val="000000"/>
          <w:sz w:val="22"/>
          <w:szCs w:val="22"/>
          <w:lang w:eastAsia="zh-CN"/>
        </w:rPr>
      </w:pPr>
    </w:p>
    <w:p w14:paraId="76EEE9BC" w14:textId="77777777" w:rsidR="006B456B" w:rsidRDefault="006B456B" w:rsidP="006B456B">
      <w:pPr>
        <w:spacing w:before="0" w:after="200"/>
        <w:rPr>
          <w:rFonts w:asciiTheme="minorBidi" w:hAnsiTheme="minorBidi" w:cstheme="minorBidi"/>
          <w:color w:val="000000"/>
          <w:sz w:val="22"/>
          <w:szCs w:val="22"/>
          <w:lang w:eastAsia="zh-CN"/>
        </w:rPr>
      </w:pPr>
    </w:p>
    <w:p w14:paraId="4689BFE4" w14:textId="77777777" w:rsidR="00D45C9B" w:rsidRDefault="00D45C9B" w:rsidP="006B456B">
      <w:pPr>
        <w:spacing w:before="0" w:after="200"/>
        <w:rPr>
          <w:rFonts w:asciiTheme="minorBidi" w:hAnsiTheme="minorBidi" w:cstheme="minorBidi"/>
          <w:color w:val="000000"/>
          <w:sz w:val="22"/>
          <w:szCs w:val="22"/>
          <w:lang w:eastAsia="zh-CN"/>
        </w:rPr>
      </w:pPr>
    </w:p>
    <w:p w14:paraId="2D936B91" w14:textId="77777777" w:rsidR="00D45C9B" w:rsidRDefault="00D45C9B" w:rsidP="006B456B">
      <w:pPr>
        <w:spacing w:before="0" w:after="200"/>
        <w:rPr>
          <w:rFonts w:asciiTheme="minorBidi" w:hAnsiTheme="minorBidi" w:cstheme="minorBidi"/>
          <w:color w:val="000000"/>
          <w:sz w:val="22"/>
          <w:szCs w:val="22"/>
          <w:lang w:eastAsia="zh-CN"/>
        </w:rPr>
      </w:pPr>
    </w:p>
    <w:p w14:paraId="0B925612" w14:textId="77777777" w:rsidR="00D45C9B" w:rsidRDefault="00D45C9B" w:rsidP="006B456B">
      <w:pPr>
        <w:spacing w:before="0" w:after="200"/>
        <w:rPr>
          <w:rFonts w:asciiTheme="minorBidi" w:hAnsiTheme="minorBidi" w:cstheme="minorBidi"/>
          <w:color w:val="000000"/>
          <w:sz w:val="22"/>
          <w:szCs w:val="22"/>
          <w:lang w:eastAsia="zh-CN"/>
        </w:rPr>
      </w:pPr>
    </w:p>
    <w:p w14:paraId="07FCB374" w14:textId="77777777" w:rsidR="00D45C9B" w:rsidRDefault="00D45C9B" w:rsidP="006B456B">
      <w:pPr>
        <w:spacing w:before="0" w:after="200"/>
        <w:rPr>
          <w:rFonts w:asciiTheme="minorBidi" w:hAnsiTheme="minorBidi" w:cstheme="minorBidi"/>
          <w:color w:val="000000"/>
          <w:sz w:val="22"/>
          <w:szCs w:val="22"/>
          <w:lang w:eastAsia="zh-CN"/>
        </w:rPr>
      </w:pPr>
    </w:p>
    <w:p w14:paraId="047D247D" w14:textId="77777777" w:rsidR="0084182A" w:rsidRDefault="0084182A" w:rsidP="006B456B">
      <w:pPr>
        <w:spacing w:before="0" w:after="200"/>
        <w:rPr>
          <w:rFonts w:asciiTheme="minorBidi" w:hAnsiTheme="minorBidi" w:cstheme="minorBidi"/>
          <w:color w:val="000000"/>
          <w:sz w:val="22"/>
          <w:szCs w:val="22"/>
          <w:lang w:eastAsia="zh-CN"/>
        </w:rPr>
      </w:pPr>
    </w:p>
    <w:sectPr w:rsidR="0084182A" w:rsidSect="00963905">
      <w:headerReference w:type="default" r:id="rId8"/>
      <w:footerReference w:type="default" r:id="rId9"/>
      <w:pgSz w:w="11906" w:h="16838"/>
      <w:pgMar w:top="1440" w:right="1080" w:bottom="1440" w:left="108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BD0F2" w14:textId="77777777" w:rsidR="00E445C2" w:rsidRDefault="00E445C2" w:rsidP="00AD585C">
      <w:pPr>
        <w:spacing w:before="0" w:line="240" w:lineRule="auto"/>
      </w:pPr>
      <w:r>
        <w:separator/>
      </w:r>
    </w:p>
  </w:endnote>
  <w:endnote w:type="continuationSeparator" w:id="0">
    <w:p w14:paraId="459198CC" w14:textId="77777777" w:rsidR="00E445C2" w:rsidRDefault="00E445C2" w:rsidP="00AD585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MT">
    <w:altName w:val="Garamond"/>
    <w:charset w:val="00"/>
    <w:family w:val="roman"/>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55586"/>
      <w:docPartObj>
        <w:docPartGallery w:val="Page Numbers (Bottom of Page)"/>
        <w:docPartUnique/>
      </w:docPartObj>
    </w:sdtPr>
    <w:sdtEndPr>
      <w:rPr>
        <w:color w:val="808080" w:themeColor="background1" w:themeShade="80"/>
        <w:spacing w:val="60"/>
        <w:sz w:val="16"/>
        <w:szCs w:val="16"/>
      </w:rPr>
    </w:sdtEndPr>
    <w:sdtContent>
      <w:p w14:paraId="3CF7F27E" w14:textId="6F3435DC" w:rsidR="00E445C2" w:rsidRPr="00DA1753" w:rsidRDefault="00E445C2">
        <w:pPr>
          <w:pStyle w:val="Footer"/>
          <w:pBdr>
            <w:top w:val="single" w:sz="4" w:space="1" w:color="D9D9D9" w:themeColor="background1" w:themeShade="D9"/>
          </w:pBdr>
          <w:jc w:val="right"/>
          <w:rPr>
            <w:sz w:val="16"/>
            <w:szCs w:val="16"/>
          </w:rPr>
        </w:pPr>
        <w:r w:rsidRPr="00DA1753">
          <w:rPr>
            <w:sz w:val="16"/>
            <w:szCs w:val="16"/>
          </w:rPr>
          <w:fldChar w:fldCharType="begin"/>
        </w:r>
        <w:r w:rsidRPr="00DA1753">
          <w:rPr>
            <w:sz w:val="16"/>
            <w:szCs w:val="16"/>
          </w:rPr>
          <w:instrText xml:space="preserve"> PAGE   \* MERGEFORMAT </w:instrText>
        </w:r>
        <w:r w:rsidRPr="00DA1753">
          <w:rPr>
            <w:sz w:val="16"/>
            <w:szCs w:val="16"/>
          </w:rPr>
          <w:fldChar w:fldCharType="separate"/>
        </w:r>
        <w:r w:rsidR="00662E6D">
          <w:rPr>
            <w:noProof/>
            <w:sz w:val="16"/>
            <w:szCs w:val="16"/>
          </w:rPr>
          <w:t>6</w:t>
        </w:r>
        <w:r w:rsidRPr="00DA1753">
          <w:rPr>
            <w:noProof/>
            <w:sz w:val="16"/>
            <w:szCs w:val="16"/>
          </w:rPr>
          <w:fldChar w:fldCharType="end"/>
        </w:r>
        <w:r w:rsidRPr="00DA1753">
          <w:rPr>
            <w:sz w:val="16"/>
            <w:szCs w:val="16"/>
          </w:rPr>
          <w:t xml:space="preserve"> | </w:t>
        </w:r>
        <w:r w:rsidRPr="00DA1753">
          <w:rPr>
            <w:color w:val="808080" w:themeColor="background1" w:themeShade="80"/>
            <w:spacing w:val="60"/>
            <w:sz w:val="16"/>
            <w:szCs w:val="16"/>
          </w:rPr>
          <w:t>Page</w:t>
        </w:r>
      </w:p>
    </w:sdtContent>
  </w:sdt>
  <w:p w14:paraId="0F1EA3AB" w14:textId="77777777" w:rsidR="00E445C2" w:rsidRDefault="00E445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4B5BB1" w14:textId="77777777" w:rsidR="00E445C2" w:rsidRDefault="00E445C2" w:rsidP="00AD585C">
      <w:pPr>
        <w:spacing w:before="0" w:line="240" w:lineRule="auto"/>
      </w:pPr>
      <w:r>
        <w:separator/>
      </w:r>
    </w:p>
  </w:footnote>
  <w:footnote w:type="continuationSeparator" w:id="0">
    <w:p w14:paraId="071416A1" w14:textId="77777777" w:rsidR="00E445C2" w:rsidRDefault="00E445C2" w:rsidP="00AD585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5E2E9" w14:textId="77777777" w:rsidR="00E445C2" w:rsidRDefault="00E445C2" w:rsidP="005F54BF">
    <w:pPr>
      <w:pStyle w:val="Header"/>
      <w:pBdr>
        <w:bottom w:val="single" w:sz="12" w:space="7" w:color="27579A"/>
      </w:pBdr>
      <w:tabs>
        <w:tab w:val="right" w:pos="8820"/>
        <w:tab w:val="right" w:pos="9854"/>
      </w:tabs>
      <w:spacing w:after="360"/>
      <w:ind w:right="-108"/>
    </w:pPr>
    <w:r>
      <w:tab/>
    </w:r>
    <w:r>
      <w:tab/>
    </w:r>
    <w:r>
      <w:rPr>
        <w:noProof/>
        <w:lang w:eastAsia="zh-CN"/>
      </w:rPr>
      <w:drawing>
        <wp:inline distT="0" distB="0" distL="0" distR="0" wp14:anchorId="19CFFA66" wp14:editId="5AC5CF47">
          <wp:extent cx="2081481"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p w14:paraId="4F9EF842" w14:textId="77777777" w:rsidR="00E445C2" w:rsidRDefault="00E445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E0DA9"/>
    <w:multiLevelType w:val="hybridMultilevel"/>
    <w:tmpl w:val="7E0A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64B14"/>
    <w:multiLevelType w:val="hybridMultilevel"/>
    <w:tmpl w:val="F89E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A1CEE"/>
    <w:multiLevelType w:val="hybridMultilevel"/>
    <w:tmpl w:val="F86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284"/>
    <w:multiLevelType w:val="hybridMultilevel"/>
    <w:tmpl w:val="A866F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A37A55"/>
    <w:multiLevelType w:val="hybridMultilevel"/>
    <w:tmpl w:val="D218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80157"/>
    <w:multiLevelType w:val="hybridMultilevel"/>
    <w:tmpl w:val="1FCC1F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A24278F"/>
    <w:multiLevelType w:val="hybridMultilevel"/>
    <w:tmpl w:val="86224D1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A2C36"/>
    <w:multiLevelType w:val="hybridMultilevel"/>
    <w:tmpl w:val="A05C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867DA"/>
    <w:multiLevelType w:val="hybridMultilevel"/>
    <w:tmpl w:val="E8EA0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24A54"/>
    <w:multiLevelType w:val="hybridMultilevel"/>
    <w:tmpl w:val="95BE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F31133"/>
    <w:multiLevelType w:val="hybridMultilevel"/>
    <w:tmpl w:val="59629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3F2069"/>
    <w:multiLevelType w:val="hybridMultilevel"/>
    <w:tmpl w:val="11FE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EB7843"/>
    <w:multiLevelType w:val="hybridMultilevel"/>
    <w:tmpl w:val="CDD2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722689"/>
    <w:multiLevelType w:val="hybridMultilevel"/>
    <w:tmpl w:val="3F80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D14D0"/>
    <w:multiLevelType w:val="hybridMultilevel"/>
    <w:tmpl w:val="48B2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BC77F1"/>
    <w:multiLevelType w:val="hybridMultilevel"/>
    <w:tmpl w:val="640CB9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6A46AAF"/>
    <w:multiLevelType w:val="hybridMultilevel"/>
    <w:tmpl w:val="3980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63BF7"/>
    <w:multiLevelType w:val="hybridMultilevel"/>
    <w:tmpl w:val="62F4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1F1586"/>
    <w:multiLevelType w:val="hybridMultilevel"/>
    <w:tmpl w:val="C7F4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6767BE"/>
    <w:multiLevelType w:val="hybridMultilevel"/>
    <w:tmpl w:val="7B0638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C1E6A25"/>
    <w:multiLevelType w:val="hybridMultilevel"/>
    <w:tmpl w:val="AA38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283DA3"/>
    <w:multiLevelType w:val="hybridMultilevel"/>
    <w:tmpl w:val="AE72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1E1D3F"/>
    <w:multiLevelType w:val="hybridMultilevel"/>
    <w:tmpl w:val="7F08E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C73EAD"/>
    <w:multiLevelType w:val="hybridMultilevel"/>
    <w:tmpl w:val="FD3C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B83F29"/>
    <w:multiLevelType w:val="hybridMultilevel"/>
    <w:tmpl w:val="18D62D3E"/>
    <w:lvl w:ilvl="0" w:tplc="3A04137E">
      <w:numFmt w:val="bullet"/>
      <w:lvlText w:val=""/>
      <w:lvlJc w:val="left"/>
      <w:pPr>
        <w:ind w:left="720" w:hanging="360"/>
      </w:pPr>
      <w:rPr>
        <w:rFonts w:ascii="Symbol" w:eastAsia="Times New Roma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044564"/>
    <w:multiLevelType w:val="hybridMultilevel"/>
    <w:tmpl w:val="8C3A2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4B2266"/>
    <w:multiLevelType w:val="hybridMultilevel"/>
    <w:tmpl w:val="C94E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0F0815"/>
    <w:multiLevelType w:val="hybridMultilevel"/>
    <w:tmpl w:val="60B8F1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F766E0F"/>
    <w:multiLevelType w:val="multilevel"/>
    <w:tmpl w:val="EDDE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4426C7"/>
    <w:multiLevelType w:val="multilevel"/>
    <w:tmpl w:val="D09A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5E0938"/>
    <w:multiLevelType w:val="multilevel"/>
    <w:tmpl w:val="C74C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757553"/>
    <w:multiLevelType w:val="hybridMultilevel"/>
    <w:tmpl w:val="6EB6C9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8B648E"/>
    <w:multiLevelType w:val="hybridMultilevel"/>
    <w:tmpl w:val="6CA09AB2"/>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8844BE"/>
    <w:multiLevelType w:val="hybridMultilevel"/>
    <w:tmpl w:val="B9685038"/>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CC285B"/>
    <w:multiLevelType w:val="hybridMultilevel"/>
    <w:tmpl w:val="E85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091E93"/>
    <w:multiLevelType w:val="hybridMultilevel"/>
    <w:tmpl w:val="69FC4C4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1729B"/>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453361"/>
    <w:multiLevelType w:val="hybridMultilevel"/>
    <w:tmpl w:val="781C6B1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964497"/>
    <w:multiLevelType w:val="hybridMultilevel"/>
    <w:tmpl w:val="06D6A3D0"/>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00073A"/>
    <w:multiLevelType w:val="hybridMultilevel"/>
    <w:tmpl w:val="FCB8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BA5253"/>
    <w:multiLevelType w:val="hybridMultilevel"/>
    <w:tmpl w:val="FB9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7B5829"/>
    <w:multiLevelType w:val="hybridMultilevel"/>
    <w:tmpl w:val="C43A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347FC1"/>
    <w:multiLevelType w:val="hybridMultilevel"/>
    <w:tmpl w:val="B188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1"/>
  </w:num>
  <w:num w:numId="3">
    <w:abstractNumId w:val="42"/>
  </w:num>
  <w:num w:numId="4">
    <w:abstractNumId w:val="28"/>
  </w:num>
  <w:num w:numId="5">
    <w:abstractNumId w:val="10"/>
  </w:num>
  <w:num w:numId="6">
    <w:abstractNumId w:val="4"/>
  </w:num>
  <w:num w:numId="7">
    <w:abstractNumId w:val="39"/>
  </w:num>
  <w:num w:numId="8">
    <w:abstractNumId w:val="1"/>
  </w:num>
  <w:num w:numId="9">
    <w:abstractNumId w:val="12"/>
  </w:num>
  <w:num w:numId="10">
    <w:abstractNumId w:val="25"/>
  </w:num>
  <w:num w:numId="11">
    <w:abstractNumId w:val="36"/>
  </w:num>
  <w:num w:numId="12">
    <w:abstractNumId w:val="15"/>
  </w:num>
  <w:num w:numId="13">
    <w:abstractNumId w:val="40"/>
  </w:num>
  <w:num w:numId="14">
    <w:abstractNumId w:val="20"/>
  </w:num>
  <w:num w:numId="15">
    <w:abstractNumId w:val="14"/>
  </w:num>
  <w:num w:numId="16">
    <w:abstractNumId w:val="26"/>
  </w:num>
  <w:num w:numId="17">
    <w:abstractNumId w:val="13"/>
  </w:num>
  <w:num w:numId="18">
    <w:abstractNumId w:val="41"/>
  </w:num>
  <w:num w:numId="19">
    <w:abstractNumId w:val="21"/>
  </w:num>
  <w:num w:numId="20">
    <w:abstractNumId w:val="8"/>
  </w:num>
  <w:num w:numId="21">
    <w:abstractNumId w:val="3"/>
  </w:num>
  <w:num w:numId="22">
    <w:abstractNumId w:val="0"/>
  </w:num>
  <w:num w:numId="23">
    <w:abstractNumId w:val="7"/>
  </w:num>
  <w:num w:numId="24">
    <w:abstractNumId w:val="19"/>
  </w:num>
  <w:num w:numId="25">
    <w:abstractNumId w:val="27"/>
  </w:num>
  <w:num w:numId="26">
    <w:abstractNumId w:val="9"/>
  </w:num>
  <w:num w:numId="27">
    <w:abstractNumId w:val="17"/>
  </w:num>
  <w:num w:numId="28">
    <w:abstractNumId w:val="18"/>
  </w:num>
  <w:num w:numId="29">
    <w:abstractNumId w:val="23"/>
  </w:num>
  <w:num w:numId="30">
    <w:abstractNumId w:val="34"/>
  </w:num>
  <w:num w:numId="31">
    <w:abstractNumId w:val="22"/>
  </w:num>
  <w:num w:numId="32">
    <w:abstractNumId w:val="16"/>
  </w:num>
  <w:num w:numId="33">
    <w:abstractNumId w:val="2"/>
  </w:num>
  <w:num w:numId="34">
    <w:abstractNumId w:val="11"/>
  </w:num>
  <w:num w:numId="35">
    <w:abstractNumId w:val="32"/>
  </w:num>
  <w:num w:numId="36">
    <w:abstractNumId w:val="35"/>
  </w:num>
  <w:num w:numId="37">
    <w:abstractNumId w:val="38"/>
  </w:num>
  <w:num w:numId="38">
    <w:abstractNumId w:val="37"/>
  </w:num>
  <w:num w:numId="39">
    <w:abstractNumId w:val="6"/>
  </w:num>
  <w:num w:numId="40">
    <w:abstractNumId w:val="33"/>
  </w:num>
  <w:num w:numId="41">
    <w:abstractNumId w:val="30"/>
  </w:num>
  <w:num w:numId="42">
    <w:abstractNumId w:val="29"/>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D7A"/>
    <w:rsid w:val="00017C21"/>
    <w:rsid w:val="00020D14"/>
    <w:rsid w:val="00025A69"/>
    <w:rsid w:val="00027081"/>
    <w:rsid w:val="000428F8"/>
    <w:rsid w:val="00043096"/>
    <w:rsid w:val="00043C9B"/>
    <w:rsid w:val="00044887"/>
    <w:rsid w:val="0005089E"/>
    <w:rsid w:val="00051440"/>
    <w:rsid w:val="0005376F"/>
    <w:rsid w:val="00060BA5"/>
    <w:rsid w:val="0006513E"/>
    <w:rsid w:val="00066B04"/>
    <w:rsid w:val="000708D5"/>
    <w:rsid w:val="00072D27"/>
    <w:rsid w:val="00080B30"/>
    <w:rsid w:val="00085118"/>
    <w:rsid w:val="00090FAC"/>
    <w:rsid w:val="00094966"/>
    <w:rsid w:val="000A06EF"/>
    <w:rsid w:val="000B1FFA"/>
    <w:rsid w:val="000B4345"/>
    <w:rsid w:val="000B563A"/>
    <w:rsid w:val="000C0366"/>
    <w:rsid w:val="000C0A0F"/>
    <w:rsid w:val="000C5033"/>
    <w:rsid w:val="000C65F1"/>
    <w:rsid w:val="000C66B0"/>
    <w:rsid w:val="000D5861"/>
    <w:rsid w:val="000D666D"/>
    <w:rsid w:val="000E0752"/>
    <w:rsid w:val="000E23BB"/>
    <w:rsid w:val="000F1DBC"/>
    <w:rsid w:val="000F6F96"/>
    <w:rsid w:val="00100CA7"/>
    <w:rsid w:val="00106379"/>
    <w:rsid w:val="0012284F"/>
    <w:rsid w:val="001265B3"/>
    <w:rsid w:val="00130F30"/>
    <w:rsid w:val="00132029"/>
    <w:rsid w:val="0014043F"/>
    <w:rsid w:val="00151929"/>
    <w:rsid w:val="00155728"/>
    <w:rsid w:val="00162EAB"/>
    <w:rsid w:val="001641C1"/>
    <w:rsid w:val="00170631"/>
    <w:rsid w:val="001757F9"/>
    <w:rsid w:val="00180CA6"/>
    <w:rsid w:val="00181E43"/>
    <w:rsid w:val="001871E0"/>
    <w:rsid w:val="00193865"/>
    <w:rsid w:val="00194170"/>
    <w:rsid w:val="001A2952"/>
    <w:rsid w:val="001B2DCA"/>
    <w:rsid w:val="001C2C56"/>
    <w:rsid w:val="001D78C6"/>
    <w:rsid w:val="001E0FD1"/>
    <w:rsid w:val="001E4109"/>
    <w:rsid w:val="001F335D"/>
    <w:rsid w:val="002051A4"/>
    <w:rsid w:val="00214FBC"/>
    <w:rsid w:val="002152FB"/>
    <w:rsid w:val="002162B9"/>
    <w:rsid w:val="00217A68"/>
    <w:rsid w:val="00226355"/>
    <w:rsid w:val="00230C3D"/>
    <w:rsid w:val="00231811"/>
    <w:rsid w:val="002412E2"/>
    <w:rsid w:val="0024309F"/>
    <w:rsid w:val="00244B4D"/>
    <w:rsid w:val="00246A6A"/>
    <w:rsid w:val="00266149"/>
    <w:rsid w:val="002674CA"/>
    <w:rsid w:val="002677C6"/>
    <w:rsid w:val="00273DC2"/>
    <w:rsid w:val="0027639C"/>
    <w:rsid w:val="00280BF1"/>
    <w:rsid w:val="00285950"/>
    <w:rsid w:val="002911EA"/>
    <w:rsid w:val="00292AAC"/>
    <w:rsid w:val="002A151B"/>
    <w:rsid w:val="002A26FE"/>
    <w:rsid w:val="002A6840"/>
    <w:rsid w:val="002A751F"/>
    <w:rsid w:val="002A79E5"/>
    <w:rsid w:val="002B2289"/>
    <w:rsid w:val="002C179B"/>
    <w:rsid w:val="002C4138"/>
    <w:rsid w:val="002D04BD"/>
    <w:rsid w:val="002D73B6"/>
    <w:rsid w:val="002D7770"/>
    <w:rsid w:val="002E735F"/>
    <w:rsid w:val="002E7925"/>
    <w:rsid w:val="002F0EBC"/>
    <w:rsid w:val="002F3AF0"/>
    <w:rsid w:val="002F7474"/>
    <w:rsid w:val="00303D29"/>
    <w:rsid w:val="00307F7E"/>
    <w:rsid w:val="00315D0D"/>
    <w:rsid w:val="0031688A"/>
    <w:rsid w:val="00317C12"/>
    <w:rsid w:val="00324435"/>
    <w:rsid w:val="0032693E"/>
    <w:rsid w:val="00336C29"/>
    <w:rsid w:val="00346646"/>
    <w:rsid w:val="00346FB0"/>
    <w:rsid w:val="003475E0"/>
    <w:rsid w:val="00347C1E"/>
    <w:rsid w:val="003543CF"/>
    <w:rsid w:val="00357FE1"/>
    <w:rsid w:val="0036346D"/>
    <w:rsid w:val="0036432D"/>
    <w:rsid w:val="00366B59"/>
    <w:rsid w:val="00367FF2"/>
    <w:rsid w:val="0037025F"/>
    <w:rsid w:val="003718A3"/>
    <w:rsid w:val="00381BBA"/>
    <w:rsid w:val="003834AE"/>
    <w:rsid w:val="00391134"/>
    <w:rsid w:val="003942C4"/>
    <w:rsid w:val="00395AC5"/>
    <w:rsid w:val="0039628E"/>
    <w:rsid w:val="003A18AC"/>
    <w:rsid w:val="003A1AE5"/>
    <w:rsid w:val="003B0CEA"/>
    <w:rsid w:val="003B3761"/>
    <w:rsid w:val="003B4143"/>
    <w:rsid w:val="003C0E82"/>
    <w:rsid w:val="003C1D2B"/>
    <w:rsid w:val="003C3887"/>
    <w:rsid w:val="003C7682"/>
    <w:rsid w:val="003D279E"/>
    <w:rsid w:val="003D74CC"/>
    <w:rsid w:val="003D7CCB"/>
    <w:rsid w:val="003E1374"/>
    <w:rsid w:val="003E16B3"/>
    <w:rsid w:val="003E1CCC"/>
    <w:rsid w:val="003E3DD9"/>
    <w:rsid w:val="003E431B"/>
    <w:rsid w:val="004025F4"/>
    <w:rsid w:val="00404E02"/>
    <w:rsid w:val="00417118"/>
    <w:rsid w:val="00425C42"/>
    <w:rsid w:val="00426B11"/>
    <w:rsid w:val="00426BE8"/>
    <w:rsid w:val="00431AFF"/>
    <w:rsid w:val="00435FAB"/>
    <w:rsid w:val="0043621C"/>
    <w:rsid w:val="004419D1"/>
    <w:rsid w:val="004434BA"/>
    <w:rsid w:val="0044409D"/>
    <w:rsid w:val="00454961"/>
    <w:rsid w:val="00455F9F"/>
    <w:rsid w:val="0046040C"/>
    <w:rsid w:val="0047330A"/>
    <w:rsid w:val="00482476"/>
    <w:rsid w:val="00484E84"/>
    <w:rsid w:val="00486D9F"/>
    <w:rsid w:val="004916AD"/>
    <w:rsid w:val="00497CAA"/>
    <w:rsid w:val="004A04B6"/>
    <w:rsid w:val="004A060E"/>
    <w:rsid w:val="004A4090"/>
    <w:rsid w:val="004B798B"/>
    <w:rsid w:val="004C7F1F"/>
    <w:rsid w:val="004D117C"/>
    <w:rsid w:val="004D38F9"/>
    <w:rsid w:val="004E25AA"/>
    <w:rsid w:val="004E4B21"/>
    <w:rsid w:val="004E5167"/>
    <w:rsid w:val="004F0593"/>
    <w:rsid w:val="004F1D3C"/>
    <w:rsid w:val="004F24F9"/>
    <w:rsid w:val="005036A0"/>
    <w:rsid w:val="005063AD"/>
    <w:rsid w:val="00507D70"/>
    <w:rsid w:val="005109A2"/>
    <w:rsid w:val="00526824"/>
    <w:rsid w:val="00526A87"/>
    <w:rsid w:val="00526AB6"/>
    <w:rsid w:val="005329AA"/>
    <w:rsid w:val="00535BF0"/>
    <w:rsid w:val="00545FFF"/>
    <w:rsid w:val="00554CC6"/>
    <w:rsid w:val="005630BD"/>
    <w:rsid w:val="00564805"/>
    <w:rsid w:val="00571364"/>
    <w:rsid w:val="00574F23"/>
    <w:rsid w:val="00575880"/>
    <w:rsid w:val="005771F1"/>
    <w:rsid w:val="00577300"/>
    <w:rsid w:val="0058190D"/>
    <w:rsid w:val="005834ED"/>
    <w:rsid w:val="00586D7A"/>
    <w:rsid w:val="005900BB"/>
    <w:rsid w:val="0059666C"/>
    <w:rsid w:val="005A399A"/>
    <w:rsid w:val="005B05F0"/>
    <w:rsid w:val="005B2DA3"/>
    <w:rsid w:val="005B4A54"/>
    <w:rsid w:val="005B6739"/>
    <w:rsid w:val="005B761A"/>
    <w:rsid w:val="005C17C7"/>
    <w:rsid w:val="005C7572"/>
    <w:rsid w:val="005D09BA"/>
    <w:rsid w:val="005E3F39"/>
    <w:rsid w:val="005E458F"/>
    <w:rsid w:val="005E519F"/>
    <w:rsid w:val="005E7895"/>
    <w:rsid w:val="005F2231"/>
    <w:rsid w:val="005F2C91"/>
    <w:rsid w:val="005F54BF"/>
    <w:rsid w:val="00600ADB"/>
    <w:rsid w:val="006026F8"/>
    <w:rsid w:val="00603739"/>
    <w:rsid w:val="0061219B"/>
    <w:rsid w:val="00612A45"/>
    <w:rsid w:val="00616ACF"/>
    <w:rsid w:val="00632966"/>
    <w:rsid w:val="006455EC"/>
    <w:rsid w:val="00656031"/>
    <w:rsid w:val="00662E6D"/>
    <w:rsid w:val="00663343"/>
    <w:rsid w:val="00665124"/>
    <w:rsid w:val="006721CF"/>
    <w:rsid w:val="006721D3"/>
    <w:rsid w:val="00673FAA"/>
    <w:rsid w:val="0067738A"/>
    <w:rsid w:val="00680A4F"/>
    <w:rsid w:val="0068565A"/>
    <w:rsid w:val="00690AB8"/>
    <w:rsid w:val="006940FD"/>
    <w:rsid w:val="00697354"/>
    <w:rsid w:val="006B20D2"/>
    <w:rsid w:val="006B456B"/>
    <w:rsid w:val="006B55CA"/>
    <w:rsid w:val="006C1A9D"/>
    <w:rsid w:val="006D1C71"/>
    <w:rsid w:val="006D2709"/>
    <w:rsid w:val="006D7A3B"/>
    <w:rsid w:val="006E0511"/>
    <w:rsid w:val="006E0D34"/>
    <w:rsid w:val="006E55F5"/>
    <w:rsid w:val="006F0694"/>
    <w:rsid w:val="006F3310"/>
    <w:rsid w:val="006F335A"/>
    <w:rsid w:val="006F6ABE"/>
    <w:rsid w:val="00701001"/>
    <w:rsid w:val="0071462B"/>
    <w:rsid w:val="007237B7"/>
    <w:rsid w:val="00727D02"/>
    <w:rsid w:val="00735FFD"/>
    <w:rsid w:val="007641AF"/>
    <w:rsid w:val="00777186"/>
    <w:rsid w:val="00780E8E"/>
    <w:rsid w:val="00791666"/>
    <w:rsid w:val="00794509"/>
    <w:rsid w:val="00795764"/>
    <w:rsid w:val="00795C2D"/>
    <w:rsid w:val="007976E3"/>
    <w:rsid w:val="007A13A3"/>
    <w:rsid w:val="007A14F3"/>
    <w:rsid w:val="007B01A9"/>
    <w:rsid w:val="007C2685"/>
    <w:rsid w:val="007C7098"/>
    <w:rsid w:val="007C716F"/>
    <w:rsid w:val="007D00CF"/>
    <w:rsid w:val="007D23FB"/>
    <w:rsid w:val="007E2DB2"/>
    <w:rsid w:val="007E5040"/>
    <w:rsid w:val="007E7B11"/>
    <w:rsid w:val="007F1002"/>
    <w:rsid w:val="007F3158"/>
    <w:rsid w:val="007F77C9"/>
    <w:rsid w:val="00801D17"/>
    <w:rsid w:val="00804A5B"/>
    <w:rsid w:val="00812B65"/>
    <w:rsid w:val="00816295"/>
    <w:rsid w:val="00824A75"/>
    <w:rsid w:val="00834883"/>
    <w:rsid w:val="00837A24"/>
    <w:rsid w:val="0084182A"/>
    <w:rsid w:val="00842F34"/>
    <w:rsid w:val="00850BD0"/>
    <w:rsid w:val="008525DE"/>
    <w:rsid w:val="00862599"/>
    <w:rsid w:val="00870E00"/>
    <w:rsid w:val="00872397"/>
    <w:rsid w:val="008752C7"/>
    <w:rsid w:val="00885479"/>
    <w:rsid w:val="00886D32"/>
    <w:rsid w:val="0089596A"/>
    <w:rsid w:val="008B136C"/>
    <w:rsid w:val="008E19F3"/>
    <w:rsid w:val="008E216A"/>
    <w:rsid w:val="008E23E7"/>
    <w:rsid w:val="008E4757"/>
    <w:rsid w:val="008F206D"/>
    <w:rsid w:val="008F4487"/>
    <w:rsid w:val="008F7526"/>
    <w:rsid w:val="0090007E"/>
    <w:rsid w:val="00900509"/>
    <w:rsid w:val="00903C6A"/>
    <w:rsid w:val="00910D80"/>
    <w:rsid w:val="00911795"/>
    <w:rsid w:val="00914AA0"/>
    <w:rsid w:val="00915268"/>
    <w:rsid w:val="00923EA6"/>
    <w:rsid w:val="0093103C"/>
    <w:rsid w:val="00942BC2"/>
    <w:rsid w:val="009443F5"/>
    <w:rsid w:val="009456CC"/>
    <w:rsid w:val="00954E14"/>
    <w:rsid w:val="009555A1"/>
    <w:rsid w:val="00963905"/>
    <w:rsid w:val="009641DC"/>
    <w:rsid w:val="009657F5"/>
    <w:rsid w:val="00966036"/>
    <w:rsid w:val="00967096"/>
    <w:rsid w:val="00971E47"/>
    <w:rsid w:val="009734D4"/>
    <w:rsid w:val="00977640"/>
    <w:rsid w:val="00981201"/>
    <w:rsid w:val="009831C2"/>
    <w:rsid w:val="0098750C"/>
    <w:rsid w:val="009934BA"/>
    <w:rsid w:val="009A0F75"/>
    <w:rsid w:val="009A12C9"/>
    <w:rsid w:val="009A6EA2"/>
    <w:rsid w:val="009B162A"/>
    <w:rsid w:val="009B1D5C"/>
    <w:rsid w:val="009B5930"/>
    <w:rsid w:val="009C5E61"/>
    <w:rsid w:val="009C6777"/>
    <w:rsid w:val="009C6D24"/>
    <w:rsid w:val="009D5360"/>
    <w:rsid w:val="009E1690"/>
    <w:rsid w:val="009E2DA8"/>
    <w:rsid w:val="009F4769"/>
    <w:rsid w:val="009F6699"/>
    <w:rsid w:val="009F6D0F"/>
    <w:rsid w:val="00A04CDE"/>
    <w:rsid w:val="00A10902"/>
    <w:rsid w:val="00A10AE1"/>
    <w:rsid w:val="00A11C00"/>
    <w:rsid w:val="00A125E2"/>
    <w:rsid w:val="00A14CCA"/>
    <w:rsid w:val="00A16990"/>
    <w:rsid w:val="00A17A20"/>
    <w:rsid w:val="00A20D89"/>
    <w:rsid w:val="00A23386"/>
    <w:rsid w:val="00A24B7C"/>
    <w:rsid w:val="00A36495"/>
    <w:rsid w:val="00A37F20"/>
    <w:rsid w:val="00A41CFE"/>
    <w:rsid w:val="00A47A63"/>
    <w:rsid w:val="00A5288B"/>
    <w:rsid w:val="00A622E4"/>
    <w:rsid w:val="00A63B21"/>
    <w:rsid w:val="00A63C07"/>
    <w:rsid w:val="00A70EB1"/>
    <w:rsid w:val="00A735BD"/>
    <w:rsid w:val="00A7388D"/>
    <w:rsid w:val="00A74248"/>
    <w:rsid w:val="00A7489A"/>
    <w:rsid w:val="00A817A8"/>
    <w:rsid w:val="00A817D5"/>
    <w:rsid w:val="00A83E76"/>
    <w:rsid w:val="00A86327"/>
    <w:rsid w:val="00A87CCB"/>
    <w:rsid w:val="00A911A0"/>
    <w:rsid w:val="00AA39D2"/>
    <w:rsid w:val="00AB193B"/>
    <w:rsid w:val="00AB1CF0"/>
    <w:rsid w:val="00AB6391"/>
    <w:rsid w:val="00AB7D17"/>
    <w:rsid w:val="00AC2790"/>
    <w:rsid w:val="00AC766E"/>
    <w:rsid w:val="00AC7BE4"/>
    <w:rsid w:val="00AD1EE9"/>
    <w:rsid w:val="00AD585C"/>
    <w:rsid w:val="00AE4A25"/>
    <w:rsid w:val="00B010F1"/>
    <w:rsid w:val="00B122C2"/>
    <w:rsid w:val="00B13E16"/>
    <w:rsid w:val="00B15DDC"/>
    <w:rsid w:val="00B15F8B"/>
    <w:rsid w:val="00B20D2B"/>
    <w:rsid w:val="00B21608"/>
    <w:rsid w:val="00B4025C"/>
    <w:rsid w:val="00B44E94"/>
    <w:rsid w:val="00B5298C"/>
    <w:rsid w:val="00B52B58"/>
    <w:rsid w:val="00B52DAC"/>
    <w:rsid w:val="00B5452F"/>
    <w:rsid w:val="00B5482C"/>
    <w:rsid w:val="00B56D3A"/>
    <w:rsid w:val="00B57FF2"/>
    <w:rsid w:val="00B65B36"/>
    <w:rsid w:val="00B67FDB"/>
    <w:rsid w:val="00B7764F"/>
    <w:rsid w:val="00B8104D"/>
    <w:rsid w:val="00B81C52"/>
    <w:rsid w:val="00B82933"/>
    <w:rsid w:val="00B82C5A"/>
    <w:rsid w:val="00B84CBC"/>
    <w:rsid w:val="00B84E90"/>
    <w:rsid w:val="00B84FD1"/>
    <w:rsid w:val="00B92BDC"/>
    <w:rsid w:val="00B93E4F"/>
    <w:rsid w:val="00BA0DAC"/>
    <w:rsid w:val="00BA31CB"/>
    <w:rsid w:val="00BA455B"/>
    <w:rsid w:val="00BB45BE"/>
    <w:rsid w:val="00BB48D5"/>
    <w:rsid w:val="00BC1973"/>
    <w:rsid w:val="00BC267B"/>
    <w:rsid w:val="00BC5880"/>
    <w:rsid w:val="00BD462E"/>
    <w:rsid w:val="00BF45DE"/>
    <w:rsid w:val="00BF7D53"/>
    <w:rsid w:val="00BF7E7D"/>
    <w:rsid w:val="00C00E7C"/>
    <w:rsid w:val="00C032D5"/>
    <w:rsid w:val="00C047AB"/>
    <w:rsid w:val="00C16E03"/>
    <w:rsid w:val="00C17CE9"/>
    <w:rsid w:val="00C2319F"/>
    <w:rsid w:val="00C3220A"/>
    <w:rsid w:val="00C37CD6"/>
    <w:rsid w:val="00C42D41"/>
    <w:rsid w:val="00C454A3"/>
    <w:rsid w:val="00C672BE"/>
    <w:rsid w:val="00C73AD6"/>
    <w:rsid w:val="00C802A6"/>
    <w:rsid w:val="00C85E36"/>
    <w:rsid w:val="00C92DB1"/>
    <w:rsid w:val="00C9422E"/>
    <w:rsid w:val="00CA6CF2"/>
    <w:rsid w:val="00CA73BF"/>
    <w:rsid w:val="00CA7B8A"/>
    <w:rsid w:val="00CB3A4B"/>
    <w:rsid w:val="00CB5E6C"/>
    <w:rsid w:val="00CB6BB0"/>
    <w:rsid w:val="00CC3A91"/>
    <w:rsid w:val="00CC6483"/>
    <w:rsid w:val="00CD48CD"/>
    <w:rsid w:val="00CD51A3"/>
    <w:rsid w:val="00CE6711"/>
    <w:rsid w:val="00CE7480"/>
    <w:rsid w:val="00CF638C"/>
    <w:rsid w:val="00CF7572"/>
    <w:rsid w:val="00D025AE"/>
    <w:rsid w:val="00D03927"/>
    <w:rsid w:val="00D06BB8"/>
    <w:rsid w:val="00D20718"/>
    <w:rsid w:val="00D26A23"/>
    <w:rsid w:val="00D3095E"/>
    <w:rsid w:val="00D33FA3"/>
    <w:rsid w:val="00D37354"/>
    <w:rsid w:val="00D45C9B"/>
    <w:rsid w:val="00D4684E"/>
    <w:rsid w:val="00D511DC"/>
    <w:rsid w:val="00D5700E"/>
    <w:rsid w:val="00D86956"/>
    <w:rsid w:val="00D925B5"/>
    <w:rsid w:val="00D94442"/>
    <w:rsid w:val="00D95FAB"/>
    <w:rsid w:val="00DA1753"/>
    <w:rsid w:val="00DA7C24"/>
    <w:rsid w:val="00DB06B8"/>
    <w:rsid w:val="00DB158B"/>
    <w:rsid w:val="00DB29B2"/>
    <w:rsid w:val="00DB7269"/>
    <w:rsid w:val="00DC2121"/>
    <w:rsid w:val="00DC2A9D"/>
    <w:rsid w:val="00DC6A4F"/>
    <w:rsid w:val="00DC6ED8"/>
    <w:rsid w:val="00DC7313"/>
    <w:rsid w:val="00DD5AB0"/>
    <w:rsid w:val="00DD7110"/>
    <w:rsid w:val="00DE16A4"/>
    <w:rsid w:val="00DE74D9"/>
    <w:rsid w:val="00DF5C36"/>
    <w:rsid w:val="00E0657F"/>
    <w:rsid w:val="00E13786"/>
    <w:rsid w:val="00E16132"/>
    <w:rsid w:val="00E21D27"/>
    <w:rsid w:val="00E21FEF"/>
    <w:rsid w:val="00E22EC7"/>
    <w:rsid w:val="00E23A58"/>
    <w:rsid w:val="00E378B6"/>
    <w:rsid w:val="00E41464"/>
    <w:rsid w:val="00E445C2"/>
    <w:rsid w:val="00E56558"/>
    <w:rsid w:val="00E60F05"/>
    <w:rsid w:val="00E60FD2"/>
    <w:rsid w:val="00E618B4"/>
    <w:rsid w:val="00E64D2A"/>
    <w:rsid w:val="00E65A0C"/>
    <w:rsid w:val="00E66D80"/>
    <w:rsid w:val="00E7118C"/>
    <w:rsid w:val="00E72A4B"/>
    <w:rsid w:val="00E75A82"/>
    <w:rsid w:val="00E77862"/>
    <w:rsid w:val="00E85341"/>
    <w:rsid w:val="00E85773"/>
    <w:rsid w:val="00E916B1"/>
    <w:rsid w:val="00E92C90"/>
    <w:rsid w:val="00E952F8"/>
    <w:rsid w:val="00E96162"/>
    <w:rsid w:val="00E97D9C"/>
    <w:rsid w:val="00EA450E"/>
    <w:rsid w:val="00EB0C75"/>
    <w:rsid w:val="00EB3835"/>
    <w:rsid w:val="00EB707F"/>
    <w:rsid w:val="00EC02D5"/>
    <w:rsid w:val="00EC052F"/>
    <w:rsid w:val="00EC2FD4"/>
    <w:rsid w:val="00EC4895"/>
    <w:rsid w:val="00EC53FC"/>
    <w:rsid w:val="00EC68EA"/>
    <w:rsid w:val="00EC7365"/>
    <w:rsid w:val="00ED3479"/>
    <w:rsid w:val="00ED3CB2"/>
    <w:rsid w:val="00ED58A5"/>
    <w:rsid w:val="00ED79FF"/>
    <w:rsid w:val="00EE0ACD"/>
    <w:rsid w:val="00EE196F"/>
    <w:rsid w:val="00EF2DDD"/>
    <w:rsid w:val="00EF4EF5"/>
    <w:rsid w:val="00F00019"/>
    <w:rsid w:val="00F03D02"/>
    <w:rsid w:val="00F1343B"/>
    <w:rsid w:val="00F15E78"/>
    <w:rsid w:val="00F25E09"/>
    <w:rsid w:val="00F26A62"/>
    <w:rsid w:val="00F31565"/>
    <w:rsid w:val="00F33F6F"/>
    <w:rsid w:val="00F368E0"/>
    <w:rsid w:val="00F37C0F"/>
    <w:rsid w:val="00F45D73"/>
    <w:rsid w:val="00F63FC7"/>
    <w:rsid w:val="00F64472"/>
    <w:rsid w:val="00F652DB"/>
    <w:rsid w:val="00F726D3"/>
    <w:rsid w:val="00F744F2"/>
    <w:rsid w:val="00FA1D6B"/>
    <w:rsid w:val="00FA3B2B"/>
    <w:rsid w:val="00FB0757"/>
    <w:rsid w:val="00FB10D0"/>
    <w:rsid w:val="00FB3536"/>
    <w:rsid w:val="00FB4ACF"/>
    <w:rsid w:val="00FB563C"/>
    <w:rsid w:val="00FB7A70"/>
    <w:rsid w:val="00FC2E33"/>
    <w:rsid w:val="00FC2F45"/>
    <w:rsid w:val="00FC4262"/>
    <w:rsid w:val="00FC43AA"/>
    <w:rsid w:val="00FC54FE"/>
    <w:rsid w:val="00FC79F4"/>
    <w:rsid w:val="00FD0EB5"/>
    <w:rsid w:val="00FD298B"/>
    <w:rsid w:val="00FD3392"/>
    <w:rsid w:val="00FD3727"/>
    <w:rsid w:val="00FD56E2"/>
    <w:rsid w:val="00FD5FCF"/>
    <w:rsid w:val="00FD736E"/>
    <w:rsid w:val="00FE1857"/>
    <w:rsid w:val="00FE5FD4"/>
    <w:rsid w:val="00FF03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32D64090"/>
  <w15:docId w15:val="{D68BC7F3-DF51-4BFB-AEFA-50BECD301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D7A"/>
    <w:pPr>
      <w:spacing w:before="120" w:after="0"/>
    </w:pPr>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D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D7A"/>
    <w:rPr>
      <w:rFonts w:ascii="Tahoma" w:eastAsia="Times New Roman" w:hAnsi="Tahoma" w:cs="Tahoma"/>
      <w:sz w:val="16"/>
      <w:szCs w:val="16"/>
      <w:lang w:eastAsia="en-US"/>
    </w:rPr>
  </w:style>
  <w:style w:type="paragraph" w:styleId="ListParagraph">
    <w:name w:val="List Paragraph"/>
    <w:basedOn w:val="Normal"/>
    <w:uiPriority w:val="34"/>
    <w:qFormat/>
    <w:rsid w:val="005109A2"/>
    <w:pPr>
      <w:spacing w:before="0" w:after="200"/>
      <w:ind w:left="720"/>
      <w:contextualSpacing/>
    </w:pPr>
    <w:rPr>
      <w:rFonts w:ascii="Calibri" w:eastAsia="SimSun" w:hAnsi="Calibri"/>
      <w:sz w:val="22"/>
      <w:szCs w:val="22"/>
      <w:lang w:eastAsia="zh-CN"/>
    </w:rPr>
  </w:style>
  <w:style w:type="table" w:styleId="TableGrid">
    <w:name w:val="Table Grid"/>
    <w:basedOn w:val="TableNormal"/>
    <w:uiPriority w:val="59"/>
    <w:rsid w:val="002D0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1857"/>
    <w:rPr>
      <w:color w:val="0000FF" w:themeColor="hyperlink"/>
      <w:u w:val="single"/>
    </w:rPr>
  </w:style>
  <w:style w:type="paragraph" w:styleId="Header">
    <w:name w:val="header"/>
    <w:basedOn w:val="Normal"/>
    <w:link w:val="HeaderChar"/>
    <w:unhideWhenUsed/>
    <w:rsid w:val="00AD585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D585C"/>
    <w:rPr>
      <w:rFonts w:ascii="Arial" w:eastAsia="Times New Roman" w:hAnsi="Arial" w:cs="Arial"/>
      <w:sz w:val="24"/>
      <w:szCs w:val="24"/>
      <w:lang w:eastAsia="en-US"/>
    </w:rPr>
  </w:style>
  <w:style w:type="paragraph" w:styleId="Footer">
    <w:name w:val="footer"/>
    <w:basedOn w:val="Normal"/>
    <w:link w:val="FooterChar"/>
    <w:uiPriority w:val="99"/>
    <w:unhideWhenUsed/>
    <w:rsid w:val="00AD585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AD585C"/>
    <w:rPr>
      <w:rFonts w:ascii="Arial" w:eastAsia="Times New Roman" w:hAnsi="Arial" w:cs="Arial"/>
      <w:sz w:val="24"/>
      <w:szCs w:val="24"/>
      <w:lang w:eastAsia="en-US"/>
    </w:rPr>
  </w:style>
  <w:style w:type="character" w:styleId="FollowedHyperlink">
    <w:name w:val="FollowedHyperlink"/>
    <w:basedOn w:val="DefaultParagraphFont"/>
    <w:uiPriority w:val="99"/>
    <w:semiHidden/>
    <w:unhideWhenUsed/>
    <w:rsid w:val="0036432D"/>
    <w:rPr>
      <w:color w:val="800080" w:themeColor="followedHyperlink"/>
      <w:u w:val="single"/>
    </w:rPr>
  </w:style>
  <w:style w:type="table" w:customStyle="1" w:styleId="TableGrid1">
    <w:name w:val="Table Grid1"/>
    <w:basedOn w:val="TableNormal"/>
    <w:next w:val="TableGrid"/>
    <w:uiPriority w:val="59"/>
    <w:locked/>
    <w:rsid w:val="005E3F39"/>
    <w:pPr>
      <w:spacing w:after="0" w:line="240" w:lineRule="auto"/>
    </w:pPr>
    <w:rPr>
      <w:rFonts w:ascii="Calibri" w:eastAsia="SimSun" w:hAnsi="Calibri" w:cs="Arial"/>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D95FAB"/>
    <w:pPr>
      <w:spacing w:before="0" w:line="240" w:lineRule="auto"/>
    </w:pPr>
    <w:rPr>
      <w:rFonts w:ascii="Garamond MT" w:hAnsi="Garamond MT" w:cs="Times New Roman"/>
      <w:sz w:val="20"/>
      <w:szCs w:val="20"/>
      <w:lang w:eastAsia="en-GB"/>
    </w:rPr>
  </w:style>
  <w:style w:type="character" w:customStyle="1" w:styleId="FootnoteTextChar">
    <w:name w:val="Footnote Text Char"/>
    <w:basedOn w:val="DefaultParagraphFont"/>
    <w:link w:val="FootnoteText"/>
    <w:uiPriority w:val="99"/>
    <w:semiHidden/>
    <w:rsid w:val="00D95FAB"/>
    <w:rPr>
      <w:rFonts w:ascii="Garamond MT" w:eastAsia="Times New Roman" w:hAnsi="Garamond MT" w:cs="Times New Roman"/>
      <w:sz w:val="20"/>
      <w:szCs w:val="20"/>
      <w:lang w:eastAsia="en-GB"/>
    </w:rPr>
  </w:style>
  <w:style w:type="character" w:styleId="FootnoteReference">
    <w:name w:val="footnote reference"/>
    <w:basedOn w:val="DefaultParagraphFont"/>
    <w:uiPriority w:val="99"/>
    <w:semiHidden/>
    <w:unhideWhenUsed/>
    <w:rsid w:val="00D95FAB"/>
    <w:rPr>
      <w:vertAlign w:val="superscript"/>
    </w:rPr>
  </w:style>
  <w:style w:type="paragraph" w:styleId="NoSpacing">
    <w:name w:val="No Spacing"/>
    <w:uiPriority w:val="1"/>
    <w:qFormat/>
    <w:rsid w:val="00C672BE"/>
    <w:pPr>
      <w:spacing w:after="0"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1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90927">
          <w:marLeft w:val="0"/>
          <w:marRight w:val="0"/>
          <w:marTop w:val="0"/>
          <w:marBottom w:val="0"/>
          <w:divBdr>
            <w:top w:val="none" w:sz="0" w:space="0" w:color="auto"/>
            <w:left w:val="none" w:sz="0" w:space="0" w:color="auto"/>
            <w:bottom w:val="none" w:sz="0" w:space="0" w:color="auto"/>
            <w:right w:val="none" w:sz="0" w:space="0" w:color="auto"/>
          </w:divBdr>
          <w:divsChild>
            <w:div w:id="452018179">
              <w:marLeft w:val="0"/>
              <w:marRight w:val="0"/>
              <w:marTop w:val="0"/>
              <w:marBottom w:val="0"/>
              <w:divBdr>
                <w:top w:val="none" w:sz="0" w:space="0" w:color="auto"/>
                <w:left w:val="none" w:sz="0" w:space="0" w:color="auto"/>
                <w:bottom w:val="none" w:sz="0" w:space="0" w:color="auto"/>
                <w:right w:val="none" w:sz="0" w:space="0" w:color="auto"/>
              </w:divBdr>
              <w:divsChild>
                <w:div w:id="3048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59283">
      <w:bodyDiv w:val="1"/>
      <w:marLeft w:val="0"/>
      <w:marRight w:val="0"/>
      <w:marTop w:val="0"/>
      <w:marBottom w:val="0"/>
      <w:divBdr>
        <w:top w:val="none" w:sz="0" w:space="0" w:color="auto"/>
        <w:left w:val="none" w:sz="0" w:space="0" w:color="auto"/>
        <w:bottom w:val="none" w:sz="0" w:space="0" w:color="auto"/>
        <w:right w:val="none" w:sz="0" w:space="0" w:color="auto"/>
      </w:divBdr>
      <w:divsChild>
        <w:div w:id="1687172574">
          <w:marLeft w:val="0"/>
          <w:marRight w:val="0"/>
          <w:marTop w:val="0"/>
          <w:marBottom w:val="0"/>
          <w:divBdr>
            <w:top w:val="none" w:sz="0" w:space="0" w:color="auto"/>
            <w:left w:val="none" w:sz="0" w:space="0" w:color="auto"/>
            <w:bottom w:val="none" w:sz="0" w:space="0" w:color="auto"/>
            <w:right w:val="none" w:sz="0" w:space="0" w:color="auto"/>
          </w:divBdr>
          <w:divsChild>
            <w:div w:id="1859152996">
              <w:marLeft w:val="0"/>
              <w:marRight w:val="0"/>
              <w:marTop w:val="0"/>
              <w:marBottom w:val="0"/>
              <w:divBdr>
                <w:top w:val="none" w:sz="0" w:space="0" w:color="auto"/>
                <w:left w:val="none" w:sz="0" w:space="0" w:color="auto"/>
                <w:bottom w:val="none" w:sz="0" w:space="0" w:color="auto"/>
                <w:right w:val="none" w:sz="0" w:space="0" w:color="auto"/>
              </w:divBdr>
              <w:divsChild>
                <w:div w:id="1117138837">
                  <w:marLeft w:val="0"/>
                  <w:marRight w:val="0"/>
                  <w:marTop w:val="0"/>
                  <w:marBottom w:val="0"/>
                  <w:divBdr>
                    <w:top w:val="none" w:sz="0" w:space="0" w:color="auto"/>
                    <w:left w:val="none" w:sz="0" w:space="0" w:color="auto"/>
                    <w:bottom w:val="none" w:sz="0" w:space="0" w:color="auto"/>
                    <w:right w:val="none" w:sz="0" w:space="0" w:color="auto"/>
                  </w:divBdr>
                  <w:divsChild>
                    <w:div w:id="1169296353">
                      <w:marLeft w:val="0"/>
                      <w:marRight w:val="0"/>
                      <w:marTop w:val="0"/>
                      <w:marBottom w:val="0"/>
                      <w:divBdr>
                        <w:top w:val="none" w:sz="0" w:space="0" w:color="auto"/>
                        <w:left w:val="none" w:sz="0" w:space="0" w:color="auto"/>
                        <w:bottom w:val="none" w:sz="0" w:space="0" w:color="auto"/>
                        <w:right w:val="none" w:sz="0" w:space="0" w:color="auto"/>
                      </w:divBdr>
                      <w:divsChild>
                        <w:div w:id="2145923841">
                          <w:marLeft w:val="0"/>
                          <w:marRight w:val="0"/>
                          <w:marTop w:val="0"/>
                          <w:marBottom w:val="0"/>
                          <w:divBdr>
                            <w:top w:val="none" w:sz="0" w:space="0" w:color="auto"/>
                            <w:left w:val="none" w:sz="0" w:space="0" w:color="auto"/>
                            <w:bottom w:val="none" w:sz="0" w:space="0" w:color="auto"/>
                            <w:right w:val="none" w:sz="0" w:space="0" w:color="auto"/>
                          </w:divBdr>
                          <w:divsChild>
                            <w:div w:id="10706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69928">
      <w:bodyDiv w:val="1"/>
      <w:marLeft w:val="0"/>
      <w:marRight w:val="0"/>
      <w:marTop w:val="0"/>
      <w:marBottom w:val="0"/>
      <w:divBdr>
        <w:top w:val="none" w:sz="0" w:space="0" w:color="auto"/>
        <w:left w:val="none" w:sz="0" w:space="0" w:color="auto"/>
        <w:bottom w:val="none" w:sz="0" w:space="0" w:color="auto"/>
        <w:right w:val="none" w:sz="0" w:space="0" w:color="auto"/>
      </w:divBdr>
    </w:div>
    <w:div w:id="647704696">
      <w:bodyDiv w:val="1"/>
      <w:marLeft w:val="0"/>
      <w:marRight w:val="0"/>
      <w:marTop w:val="0"/>
      <w:marBottom w:val="0"/>
      <w:divBdr>
        <w:top w:val="none" w:sz="0" w:space="0" w:color="auto"/>
        <w:left w:val="none" w:sz="0" w:space="0" w:color="auto"/>
        <w:bottom w:val="none" w:sz="0" w:space="0" w:color="auto"/>
        <w:right w:val="none" w:sz="0" w:space="0" w:color="auto"/>
      </w:divBdr>
    </w:div>
    <w:div w:id="859120698">
      <w:bodyDiv w:val="1"/>
      <w:marLeft w:val="0"/>
      <w:marRight w:val="0"/>
      <w:marTop w:val="0"/>
      <w:marBottom w:val="0"/>
      <w:divBdr>
        <w:top w:val="none" w:sz="0" w:space="0" w:color="auto"/>
        <w:left w:val="none" w:sz="0" w:space="0" w:color="auto"/>
        <w:bottom w:val="none" w:sz="0" w:space="0" w:color="auto"/>
        <w:right w:val="none" w:sz="0" w:space="0" w:color="auto"/>
      </w:divBdr>
      <w:divsChild>
        <w:div w:id="1829594125">
          <w:marLeft w:val="0"/>
          <w:marRight w:val="0"/>
          <w:marTop w:val="0"/>
          <w:marBottom w:val="0"/>
          <w:divBdr>
            <w:top w:val="none" w:sz="0" w:space="0" w:color="auto"/>
            <w:left w:val="none" w:sz="0" w:space="0" w:color="auto"/>
            <w:bottom w:val="none" w:sz="0" w:space="0" w:color="auto"/>
            <w:right w:val="none" w:sz="0" w:space="0" w:color="auto"/>
          </w:divBdr>
        </w:div>
        <w:div w:id="1901751211">
          <w:marLeft w:val="0"/>
          <w:marRight w:val="0"/>
          <w:marTop w:val="0"/>
          <w:marBottom w:val="0"/>
          <w:divBdr>
            <w:top w:val="none" w:sz="0" w:space="0" w:color="auto"/>
            <w:left w:val="none" w:sz="0" w:space="0" w:color="auto"/>
            <w:bottom w:val="none" w:sz="0" w:space="0" w:color="auto"/>
            <w:right w:val="none" w:sz="0" w:space="0" w:color="auto"/>
          </w:divBdr>
        </w:div>
      </w:divsChild>
    </w:div>
    <w:div w:id="932203516">
      <w:bodyDiv w:val="1"/>
      <w:marLeft w:val="0"/>
      <w:marRight w:val="0"/>
      <w:marTop w:val="0"/>
      <w:marBottom w:val="0"/>
      <w:divBdr>
        <w:top w:val="none" w:sz="0" w:space="0" w:color="auto"/>
        <w:left w:val="none" w:sz="0" w:space="0" w:color="auto"/>
        <w:bottom w:val="none" w:sz="0" w:space="0" w:color="auto"/>
        <w:right w:val="none" w:sz="0" w:space="0" w:color="auto"/>
      </w:divBdr>
    </w:div>
    <w:div w:id="997686322">
      <w:bodyDiv w:val="1"/>
      <w:marLeft w:val="0"/>
      <w:marRight w:val="0"/>
      <w:marTop w:val="0"/>
      <w:marBottom w:val="0"/>
      <w:divBdr>
        <w:top w:val="none" w:sz="0" w:space="0" w:color="auto"/>
        <w:left w:val="none" w:sz="0" w:space="0" w:color="auto"/>
        <w:bottom w:val="none" w:sz="0" w:space="0" w:color="auto"/>
        <w:right w:val="none" w:sz="0" w:space="0" w:color="auto"/>
      </w:divBdr>
      <w:divsChild>
        <w:div w:id="1451973053">
          <w:marLeft w:val="0"/>
          <w:marRight w:val="0"/>
          <w:marTop w:val="0"/>
          <w:marBottom w:val="0"/>
          <w:divBdr>
            <w:top w:val="none" w:sz="0" w:space="0" w:color="auto"/>
            <w:left w:val="none" w:sz="0" w:space="0" w:color="auto"/>
            <w:bottom w:val="none" w:sz="0" w:space="0" w:color="auto"/>
            <w:right w:val="none" w:sz="0" w:space="0" w:color="auto"/>
          </w:divBdr>
          <w:divsChild>
            <w:div w:id="13067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1912">
      <w:bodyDiv w:val="1"/>
      <w:marLeft w:val="0"/>
      <w:marRight w:val="0"/>
      <w:marTop w:val="0"/>
      <w:marBottom w:val="0"/>
      <w:divBdr>
        <w:top w:val="none" w:sz="0" w:space="0" w:color="auto"/>
        <w:left w:val="none" w:sz="0" w:space="0" w:color="auto"/>
        <w:bottom w:val="none" w:sz="0" w:space="0" w:color="auto"/>
        <w:right w:val="none" w:sz="0" w:space="0" w:color="auto"/>
      </w:divBdr>
    </w:div>
    <w:div w:id="1497574669">
      <w:bodyDiv w:val="1"/>
      <w:marLeft w:val="0"/>
      <w:marRight w:val="0"/>
      <w:marTop w:val="0"/>
      <w:marBottom w:val="0"/>
      <w:divBdr>
        <w:top w:val="none" w:sz="0" w:space="0" w:color="auto"/>
        <w:left w:val="none" w:sz="0" w:space="0" w:color="auto"/>
        <w:bottom w:val="none" w:sz="0" w:space="0" w:color="auto"/>
        <w:right w:val="none" w:sz="0" w:space="0" w:color="auto"/>
      </w:divBdr>
    </w:div>
    <w:div w:id="1514420639">
      <w:bodyDiv w:val="1"/>
      <w:marLeft w:val="0"/>
      <w:marRight w:val="0"/>
      <w:marTop w:val="0"/>
      <w:marBottom w:val="0"/>
      <w:divBdr>
        <w:top w:val="none" w:sz="0" w:space="0" w:color="auto"/>
        <w:left w:val="none" w:sz="0" w:space="0" w:color="auto"/>
        <w:bottom w:val="none" w:sz="0" w:space="0" w:color="auto"/>
        <w:right w:val="none" w:sz="0" w:space="0" w:color="auto"/>
      </w:divBdr>
      <w:divsChild>
        <w:div w:id="1723943680">
          <w:marLeft w:val="0"/>
          <w:marRight w:val="0"/>
          <w:marTop w:val="0"/>
          <w:marBottom w:val="0"/>
          <w:divBdr>
            <w:top w:val="none" w:sz="0" w:space="0" w:color="auto"/>
            <w:left w:val="none" w:sz="0" w:space="0" w:color="auto"/>
            <w:bottom w:val="none" w:sz="0" w:space="0" w:color="auto"/>
            <w:right w:val="none" w:sz="0" w:space="0" w:color="auto"/>
          </w:divBdr>
          <w:divsChild>
            <w:div w:id="1640957882">
              <w:marLeft w:val="0"/>
              <w:marRight w:val="0"/>
              <w:marTop w:val="0"/>
              <w:marBottom w:val="0"/>
              <w:divBdr>
                <w:top w:val="none" w:sz="0" w:space="0" w:color="auto"/>
                <w:left w:val="none" w:sz="0" w:space="0" w:color="auto"/>
                <w:bottom w:val="none" w:sz="0" w:space="0" w:color="auto"/>
                <w:right w:val="none" w:sz="0" w:space="0" w:color="auto"/>
              </w:divBdr>
              <w:divsChild>
                <w:div w:id="249048079">
                  <w:marLeft w:val="0"/>
                  <w:marRight w:val="0"/>
                  <w:marTop w:val="0"/>
                  <w:marBottom w:val="0"/>
                  <w:divBdr>
                    <w:top w:val="none" w:sz="0" w:space="0" w:color="auto"/>
                    <w:left w:val="none" w:sz="0" w:space="0" w:color="auto"/>
                    <w:bottom w:val="none" w:sz="0" w:space="0" w:color="auto"/>
                    <w:right w:val="none" w:sz="0" w:space="0" w:color="auto"/>
                  </w:divBdr>
                  <w:divsChild>
                    <w:div w:id="1130436133">
                      <w:marLeft w:val="0"/>
                      <w:marRight w:val="0"/>
                      <w:marTop w:val="0"/>
                      <w:marBottom w:val="0"/>
                      <w:divBdr>
                        <w:top w:val="none" w:sz="0" w:space="0" w:color="auto"/>
                        <w:left w:val="none" w:sz="0" w:space="0" w:color="auto"/>
                        <w:bottom w:val="none" w:sz="0" w:space="0" w:color="auto"/>
                        <w:right w:val="none" w:sz="0" w:space="0" w:color="auto"/>
                      </w:divBdr>
                      <w:divsChild>
                        <w:div w:id="1536505571">
                          <w:marLeft w:val="0"/>
                          <w:marRight w:val="0"/>
                          <w:marTop w:val="0"/>
                          <w:marBottom w:val="0"/>
                          <w:divBdr>
                            <w:top w:val="none" w:sz="0" w:space="0" w:color="auto"/>
                            <w:left w:val="none" w:sz="0" w:space="0" w:color="auto"/>
                            <w:bottom w:val="none" w:sz="0" w:space="0" w:color="auto"/>
                            <w:right w:val="none" w:sz="0" w:space="0" w:color="auto"/>
                          </w:divBdr>
                          <w:divsChild>
                            <w:div w:id="1817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7750">
      <w:bodyDiv w:val="1"/>
      <w:marLeft w:val="0"/>
      <w:marRight w:val="0"/>
      <w:marTop w:val="0"/>
      <w:marBottom w:val="0"/>
      <w:divBdr>
        <w:top w:val="none" w:sz="0" w:space="0" w:color="auto"/>
        <w:left w:val="none" w:sz="0" w:space="0" w:color="auto"/>
        <w:bottom w:val="none" w:sz="0" w:space="0" w:color="auto"/>
        <w:right w:val="none" w:sz="0" w:space="0" w:color="auto"/>
      </w:divBdr>
    </w:div>
    <w:div w:id="1729181853">
      <w:bodyDiv w:val="1"/>
      <w:marLeft w:val="0"/>
      <w:marRight w:val="0"/>
      <w:marTop w:val="0"/>
      <w:marBottom w:val="0"/>
      <w:divBdr>
        <w:top w:val="none" w:sz="0" w:space="0" w:color="auto"/>
        <w:left w:val="none" w:sz="0" w:space="0" w:color="auto"/>
        <w:bottom w:val="none" w:sz="0" w:space="0" w:color="auto"/>
        <w:right w:val="none" w:sz="0" w:space="0" w:color="auto"/>
      </w:divBdr>
      <w:divsChild>
        <w:div w:id="1456170634">
          <w:marLeft w:val="0"/>
          <w:marRight w:val="0"/>
          <w:marTop w:val="0"/>
          <w:marBottom w:val="0"/>
          <w:divBdr>
            <w:top w:val="none" w:sz="0" w:space="0" w:color="auto"/>
            <w:left w:val="none" w:sz="0" w:space="0" w:color="auto"/>
            <w:bottom w:val="none" w:sz="0" w:space="0" w:color="auto"/>
            <w:right w:val="none" w:sz="0" w:space="0" w:color="auto"/>
          </w:divBdr>
          <w:divsChild>
            <w:div w:id="5673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3995">
      <w:bodyDiv w:val="1"/>
      <w:marLeft w:val="0"/>
      <w:marRight w:val="0"/>
      <w:marTop w:val="0"/>
      <w:marBottom w:val="0"/>
      <w:divBdr>
        <w:top w:val="none" w:sz="0" w:space="0" w:color="auto"/>
        <w:left w:val="none" w:sz="0" w:space="0" w:color="auto"/>
        <w:bottom w:val="none" w:sz="0" w:space="0" w:color="auto"/>
        <w:right w:val="none" w:sz="0" w:space="0" w:color="auto"/>
      </w:divBdr>
    </w:div>
    <w:div w:id="1906330161">
      <w:bodyDiv w:val="1"/>
      <w:marLeft w:val="0"/>
      <w:marRight w:val="0"/>
      <w:marTop w:val="0"/>
      <w:marBottom w:val="0"/>
      <w:divBdr>
        <w:top w:val="none" w:sz="0" w:space="0" w:color="auto"/>
        <w:left w:val="none" w:sz="0" w:space="0" w:color="auto"/>
        <w:bottom w:val="none" w:sz="0" w:space="0" w:color="auto"/>
        <w:right w:val="none" w:sz="0" w:space="0" w:color="auto"/>
      </w:divBdr>
      <w:divsChild>
        <w:div w:id="692459771">
          <w:marLeft w:val="0"/>
          <w:marRight w:val="0"/>
          <w:marTop w:val="0"/>
          <w:marBottom w:val="0"/>
          <w:divBdr>
            <w:top w:val="none" w:sz="0" w:space="0" w:color="auto"/>
            <w:left w:val="none" w:sz="0" w:space="0" w:color="auto"/>
            <w:bottom w:val="none" w:sz="0" w:space="0" w:color="auto"/>
            <w:right w:val="none" w:sz="0" w:space="0" w:color="auto"/>
          </w:divBdr>
          <w:divsChild>
            <w:div w:id="1330674107">
              <w:marLeft w:val="0"/>
              <w:marRight w:val="0"/>
              <w:marTop w:val="0"/>
              <w:marBottom w:val="0"/>
              <w:divBdr>
                <w:top w:val="none" w:sz="0" w:space="0" w:color="auto"/>
                <w:left w:val="none" w:sz="0" w:space="0" w:color="auto"/>
                <w:bottom w:val="none" w:sz="0" w:space="0" w:color="auto"/>
                <w:right w:val="none" w:sz="0" w:space="0" w:color="auto"/>
              </w:divBdr>
              <w:divsChild>
                <w:div w:id="5633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3C0ED-7E5D-4D29-999B-03E31E294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2382</Words>
  <Characters>13583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15934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Ad1nrx</dc:creator>
  <cp:lastModifiedBy>Charlotte Smith</cp:lastModifiedBy>
  <cp:revision>2</cp:revision>
  <cp:lastPrinted>2016-11-04T09:28:00Z</cp:lastPrinted>
  <dcterms:created xsi:type="dcterms:W3CDTF">2022-10-14T11:05:00Z</dcterms:created>
  <dcterms:modified xsi:type="dcterms:W3CDTF">2022-10-14T11:05:00Z</dcterms:modified>
</cp:coreProperties>
</file>